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6956F" w14:textId="77777777" w:rsidR="00872116" w:rsidRPr="00245990" w:rsidRDefault="00872116" w:rsidP="00872116">
      <w:pPr>
        <w:autoSpaceDE w:val="0"/>
        <w:autoSpaceDN w:val="0"/>
        <w:ind w:rightChars="20" w:right="42"/>
        <w:jc w:val="center"/>
        <w:rPr>
          <w:rFonts w:ascii="ＭＳ ゴシック" w:eastAsia="ＭＳ ゴシック" w:hAnsi="ＭＳ ゴシック"/>
          <w:szCs w:val="21"/>
        </w:rPr>
      </w:pPr>
      <w:r w:rsidRPr="00B33CA1">
        <w:rPr>
          <w:rFonts w:ascii="ＭＳ ゴシック" w:eastAsia="ＭＳ ゴシック" w:hAnsi="ＭＳ ゴシック" w:hint="eastAsia"/>
          <w:szCs w:val="21"/>
        </w:rPr>
        <w:t>令和</w:t>
      </w:r>
      <w:r>
        <w:rPr>
          <w:rFonts w:ascii="ＭＳ ゴシック" w:eastAsia="ＭＳ ゴシック" w:hAnsi="ＭＳ ゴシック" w:hint="eastAsia"/>
          <w:szCs w:val="21"/>
        </w:rPr>
        <w:t>８</w:t>
      </w:r>
      <w:r w:rsidRPr="00B33CA1">
        <w:rPr>
          <w:rFonts w:ascii="ＭＳ ゴシック" w:eastAsia="ＭＳ ゴシック" w:hAnsi="ＭＳ ゴシック" w:hint="eastAsia"/>
          <w:szCs w:val="21"/>
        </w:rPr>
        <w:t>年度観光関連基礎調査</w:t>
      </w:r>
      <w:r>
        <w:rPr>
          <w:rFonts w:ascii="ＭＳ ゴシック" w:eastAsia="ＭＳ ゴシック" w:hAnsi="ＭＳ ゴシック" w:hint="eastAsia"/>
          <w:szCs w:val="21"/>
        </w:rPr>
        <w:t>等</w:t>
      </w:r>
      <w:r w:rsidRPr="00B33CA1">
        <w:rPr>
          <w:rFonts w:ascii="ＭＳ ゴシック" w:eastAsia="ＭＳ ゴシック" w:hAnsi="ＭＳ ゴシック" w:hint="eastAsia"/>
          <w:szCs w:val="21"/>
        </w:rPr>
        <w:t>支援業務</w:t>
      </w:r>
      <w:r w:rsidRPr="00245990">
        <w:rPr>
          <w:rFonts w:ascii="ＭＳ ゴシック" w:eastAsia="ＭＳ ゴシック" w:hAnsi="ＭＳ ゴシック" w:hint="eastAsia"/>
          <w:szCs w:val="21"/>
        </w:rPr>
        <w:t xml:space="preserve">　仕様書</w:t>
      </w:r>
    </w:p>
    <w:p w14:paraId="14EFBD3C" w14:textId="77777777" w:rsidR="00872116" w:rsidRPr="00245990" w:rsidRDefault="00872116" w:rsidP="00872116">
      <w:pPr>
        <w:autoSpaceDE w:val="0"/>
        <w:autoSpaceDN w:val="0"/>
        <w:ind w:rightChars="20" w:right="42"/>
        <w:rPr>
          <w:rFonts w:ascii="ＭＳ 明朝" w:hAnsi="ＭＳ 明朝"/>
          <w:szCs w:val="21"/>
        </w:rPr>
      </w:pPr>
    </w:p>
    <w:p w14:paraId="4C3B6EA7" w14:textId="77777777" w:rsidR="00872116" w:rsidRPr="00245990" w:rsidRDefault="00872116" w:rsidP="00872116">
      <w:pPr>
        <w:autoSpaceDE w:val="0"/>
        <w:autoSpaceDN w:val="0"/>
        <w:ind w:rightChars="20" w:right="42"/>
        <w:rPr>
          <w:rFonts w:ascii="ＭＳ ゴシック" w:eastAsia="ＭＳ ゴシック" w:hAnsi="ＭＳ ゴシック"/>
          <w:szCs w:val="21"/>
        </w:rPr>
      </w:pPr>
      <w:r w:rsidRPr="00245990">
        <w:rPr>
          <w:rFonts w:ascii="ＭＳ ゴシック" w:eastAsia="ＭＳ ゴシック" w:hAnsi="ＭＳ ゴシック" w:hint="eastAsia"/>
          <w:szCs w:val="21"/>
        </w:rPr>
        <w:t>１．趣旨</w:t>
      </w:r>
    </w:p>
    <w:p w14:paraId="1F10DDED" w14:textId="77777777" w:rsidR="00872116" w:rsidRPr="00245990" w:rsidRDefault="00872116" w:rsidP="00872116">
      <w:pPr>
        <w:autoSpaceDE w:val="0"/>
        <w:autoSpaceDN w:val="0"/>
        <w:ind w:left="210" w:rightChars="20" w:right="42" w:hangingChars="100" w:hanging="210"/>
        <w:rPr>
          <w:rFonts w:ascii="ＭＳ 明朝" w:hAnsi="ＭＳ 明朝"/>
          <w:szCs w:val="21"/>
        </w:rPr>
      </w:pPr>
      <w:r w:rsidRPr="00245990">
        <w:rPr>
          <w:rFonts w:ascii="ＭＳ 明朝" w:hAnsi="ＭＳ 明朝" w:hint="eastAsia"/>
          <w:szCs w:val="21"/>
        </w:rPr>
        <w:t xml:space="preserve">　</w:t>
      </w:r>
      <w:r>
        <w:rPr>
          <w:rFonts w:ascii="ＭＳ 明朝" w:hAnsi="ＭＳ 明朝" w:hint="eastAsia"/>
          <w:szCs w:val="21"/>
        </w:rPr>
        <w:t xml:space="preserve">　本業務は、公益財団法人 するが企画観光局</w:t>
      </w:r>
      <w:r w:rsidRPr="00C51CB3">
        <w:rPr>
          <w:rFonts w:ascii="ＭＳ 明朝" w:hAnsi="ＭＳ 明朝"/>
          <w:szCs w:val="21"/>
        </w:rPr>
        <w:t>（以下「当財団」という）</w:t>
      </w:r>
      <w:r w:rsidRPr="00B33CA1">
        <w:rPr>
          <w:rFonts w:ascii="ＭＳ 明朝" w:hAnsi="ＭＳ 明朝" w:hint="eastAsia"/>
          <w:szCs w:val="21"/>
        </w:rPr>
        <w:t>が実施する</w:t>
      </w:r>
      <w:r>
        <w:rPr>
          <w:rFonts w:ascii="ＭＳ 明朝" w:hAnsi="ＭＳ 明朝" w:hint="eastAsia"/>
          <w:szCs w:val="21"/>
        </w:rPr>
        <w:t>観光関連基礎調査等の効率的かつ効果的な実施</w:t>
      </w:r>
      <w:r w:rsidRPr="00B33CA1">
        <w:rPr>
          <w:rFonts w:ascii="ＭＳ 明朝" w:hAnsi="ＭＳ 明朝" w:hint="eastAsia"/>
          <w:szCs w:val="21"/>
        </w:rPr>
        <w:t>とその活用に向けた支援を</w:t>
      </w:r>
      <w:r>
        <w:rPr>
          <w:rFonts w:ascii="ＭＳ 明朝" w:hAnsi="ＭＳ 明朝" w:hint="eastAsia"/>
          <w:szCs w:val="21"/>
        </w:rPr>
        <w:t>行うものである</w:t>
      </w:r>
      <w:r w:rsidRPr="00B33CA1">
        <w:rPr>
          <w:rFonts w:ascii="ＭＳ 明朝" w:hAnsi="ＭＳ 明朝" w:hint="eastAsia"/>
          <w:szCs w:val="21"/>
        </w:rPr>
        <w:t>。</w:t>
      </w:r>
    </w:p>
    <w:p w14:paraId="651E9E18" w14:textId="77777777" w:rsidR="00872116" w:rsidRPr="00245990" w:rsidRDefault="00872116" w:rsidP="00872116">
      <w:pPr>
        <w:autoSpaceDE w:val="0"/>
        <w:autoSpaceDN w:val="0"/>
        <w:ind w:left="630" w:rightChars="20" w:right="42" w:hangingChars="300" w:hanging="630"/>
        <w:rPr>
          <w:rFonts w:ascii="ＭＳ 明朝" w:hAnsi="ＭＳ 明朝"/>
          <w:szCs w:val="21"/>
        </w:rPr>
      </w:pPr>
    </w:p>
    <w:p w14:paraId="62A3E61E" w14:textId="77777777" w:rsidR="00872116" w:rsidRPr="00245990" w:rsidRDefault="00872116" w:rsidP="00872116">
      <w:pPr>
        <w:autoSpaceDE w:val="0"/>
        <w:autoSpaceDN w:val="0"/>
        <w:ind w:left="630" w:rightChars="20" w:right="42" w:hangingChars="300" w:hanging="630"/>
        <w:rPr>
          <w:rFonts w:ascii="ＭＳ ゴシック" w:eastAsia="ＭＳ ゴシック" w:hAnsi="ＭＳ ゴシック"/>
          <w:szCs w:val="21"/>
        </w:rPr>
      </w:pPr>
      <w:r w:rsidRPr="00245990">
        <w:rPr>
          <w:rFonts w:ascii="ＭＳ ゴシック" w:eastAsia="ＭＳ ゴシック" w:hAnsi="ＭＳ ゴシック" w:hint="eastAsia"/>
          <w:szCs w:val="21"/>
        </w:rPr>
        <w:t>２．業務内容</w:t>
      </w:r>
    </w:p>
    <w:p w14:paraId="44C00037" w14:textId="77777777" w:rsidR="00872116" w:rsidRDefault="00872116" w:rsidP="00872116">
      <w:pPr>
        <w:autoSpaceDE w:val="0"/>
        <w:autoSpaceDN w:val="0"/>
        <w:ind w:leftChars="-1" w:left="418" w:rightChars="20" w:right="42" w:hangingChars="200" w:hanging="420"/>
        <w:rPr>
          <w:rFonts w:ascii="ＭＳ ゴシック" w:eastAsia="ＭＳ ゴシック" w:hAnsi="ＭＳ ゴシック"/>
          <w:szCs w:val="21"/>
        </w:rPr>
      </w:pPr>
      <w:r w:rsidRPr="00245990">
        <w:rPr>
          <w:rFonts w:ascii="ＭＳ ゴシック" w:eastAsia="ＭＳ ゴシック" w:hAnsi="ＭＳ ゴシック" w:hint="eastAsia"/>
          <w:szCs w:val="21"/>
        </w:rPr>
        <w:t>（</w:t>
      </w:r>
      <w:r>
        <w:rPr>
          <w:rFonts w:ascii="ＭＳ ゴシック" w:eastAsia="ＭＳ ゴシック" w:hAnsi="ＭＳ ゴシック" w:hint="eastAsia"/>
          <w:szCs w:val="21"/>
        </w:rPr>
        <w:t>１</w:t>
      </w:r>
      <w:r w:rsidRPr="00245990">
        <w:rPr>
          <w:rFonts w:ascii="ＭＳ ゴシック" w:eastAsia="ＭＳ ゴシック" w:hAnsi="ＭＳ ゴシック" w:hint="eastAsia"/>
          <w:szCs w:val="21"/>
        </w:rPr>
        <w:t>）</w:t>
      </w:r>
      <w:r>
        <w:rPr>
          <w:rFonts w:ascii="ＭＳ ゴシック" w:eastAsia="ＭＳ ゴシック" w:hAnsi="ＭＳ ゴシック" w:hint="eastAsia"/>
          <w:szCs w:val="21"/>
        </w:rPr>
        <w:t>調査分析事業</w:t>
      </w:r>
      <w:r w:rsidRPr="00B33CA1">
        <w:rPr>
          <w:rFonts w:ascii="ＭＳ ゴシック" w:eastAsia="ＭＳ ゴシック" w:hAnsi="ＭＳ ゴシック" w:hint="eastAsia"/>
          <w:szCs w:val="21"/>
        </w:rPr>
        <w:t>支援</w:t>
      </w:r>
    </w:p>
    <w:p w14:paraId="14D5065D" w14:textId="77777777" w:rsidR="00872116" w:rsidRDefault="00872116" w:rsidP="00872116">
      <w:pPr>
        <w:autoSpaceDE w:val="0"/>
        <w:autoSpaceDN w:val="0"/>
        <w:ind w:leftChars="166" w:left="349" w:rightChars="20" w:right="42" w:firstLineChars="101" w:firstLine="212"/>
        <w:rPr>
          <w:rFonts w:ascii="ＭＳ 明朝" w:hAnsi="ＭＳ 明朝"/>
          <w:szCs w:val="21"/>
        </w:rPr>
      </w:pPr>
      <w:r w:rsidRPr="00F75E67">
        <w:rPr>
          <w:rFonts w:ascii="ＭＳ 明朝" w:hAnsi="ＭＳ 明朝" w:hint="eastAsia"/>
          <w:szCs w:val="21"/>
        </w:rPr>
        <w:t>当財団が実施する各種調査（来訪者調査、ブランド力調査等）について、調査設計・実施プロセスの最適化を図りつつ、目的に即したより質の高い示唆が得られるよう支援を行う。</w:t>
      </w:r>
    </w:p>
    <w:p w14:paraId="4B61E318" w14:textId="77777777" w:rsidR="00872116" w:rsidRPr="00245990" w:rsidRDefault="00872116" w:rsidP="00872116">
      <w:pPr>
        <w:autoSpaceDE w:val="0"/>
        <w:autoSpaceDN w:val="0"/>
        <w:ind w:leftChars="166" w:left="349" w:rightChars="20" w:right="42" w:firstLineChars="101" w:firstLine="212"/>
        <w:rPr>
          <w:rFonts w:ascii="ＭＳ ゴシック" w:eastAsia="ＭＳ ゴシック" w:hAnsi="ＭＳ ゴシック"/>
          <w:szCs w:val="21"/>
        </w:rPr>
      </w:pPr>
    </w:p>
    <w:p w14:paraId="0551EA3C" w14:textId="77777777" w:rsidR="00872116" w:rsidRPr="001333EC" w:rsidRDefault="00872116" w:rsidP="00872116">
      <w:pPr>
        <w:pStyle w:val="af"/>
        <w:numPr>
          <w:ilvl w:val="0"/>
          <w:numId w:val="2"/>
        </w:numPr>
        <w:autoSpaceDE w:val="0"/>
        <w:autoSpaceDN w:val="0"/>
        <w:ind w:leftChars="0" w:rightChars="20" w:right="42"/>
        <w:rPr>
          <w:rFonts w:ascii="ＭＳ 明朝" w:eastAsia="ＭＳ 明朝" w:hAnsi="ＭＳ 明朝"/>
          <w:szCs w:val="21"/>
        </w:rPr>
      </w:pPr>
      <w:r w:rsidRPr="006326C1">
        <w:rPr>
          <w:rFonts w:ascii="ＭＳ 明朝" w:eastAsia="ＭＳ 明朝" w:hAnsi="ＭＳ 明朝" w:hint="eastAsia"/>
          <w:szCs w:val="21"/>
        </w:rPr>
        <w:t>既存調査の効率的かつ効果的な実施に対する助言</w:t>
      </w:r>
    </w:p>
    <w:p w14:paraId="3293C375" w14:textId="77777777" w:rsidR="00872116" w:rsidRDefault="00872116" w:rsidP="00872116">
      <w:pPr>
        <w:autoSpaceDE w:val="0"/>
        <w:autoSpaceDN w:val="0"/>
        <w:ind w:leftChars="166" w:left="349" w:rightChars="20" w:right="42" w:firstLineChars="101" w:firstLine="212"/>
        <w:rPr>
          <w:rFonts w:ascii="ＭＳ 明朝" w:hAnsi="ＭＳ 明朝"/>
          <w:szCs w:val="21"/>
        </w:rPr>
      </w:pPr>
      <w:r>
        <w:rPr>
          <w:rFonts w:ascii="ＭＳ 明朝" w:hAnsi="ＭＳ 明朝" w:hint="eastAsia"/>
          <w:szCs w:val="21"/>
        </w:rPr>
        <w:t>当財団が実施する以下の既存調査について、その目的に合わせ効率的かつ効果的な調査となるよう、調査手法および分析手法等について助言を行う。特に調査手法については、調査精度とコストの観点から最適となる手法について助言を行う。また分析手法については、当財団職員の実施手法に対して技術的な助言を行う。なお、調査の実施および分析は含まない。</w:t>
      </w:r>
    </w:p>
    <w:p w14:paraId="69BE3A2A" w14:textId="77777777" w:rsidR="00872116" w:rsidRDefault="00872116" w:rsidP="00872116">
      <w:pPr>
        <w:autoSpaceDE w:val="0"/>
        <w:autoSpaceDN w:val="0"/>
        <w:ind w:rightChars="20" w:right="42"/>
        <w:rPr>
          <w:rFonts w:ascii="ＭＳ 明朝" w:hAnsi="ＭＳ 明朝"/>
          <w:szCs w:val="21"/>
        </w:rPr>
      </w:pPr>
    </w:p>
    <w:tbl>
      <w:tblPr>
        <w:tblW w:w="7899" w:type="dxa"/>
        <w:jc w:val="center"/>
        <w:tblCellMar>
          <w:left w:w="0" w:type="dxa"/>
          <w:right w:w="0" w:type="dxa"/>
        </w:tblCellMar>
        <w:tblLook w:val="04A0" w:firstRow="1" w:lastRow="0" w:firstColumn="1" w:lastColumn="0" w:noHBand="0" w:noVBand="1"/>
      </w:tblPr>
      <w:tblGrid>
        <w:gridCol w:w="2116"/>
        <w:gridCol w:w="5783"/>
      </w:tblGrid>
      <w:tr w:rsidR="00872116" w:rsidRPr="0013558A" w14:paraId="0B808C8E" w14:textId="77777777" w:rsidTr="007C1734">
        <w:trPr>
          <w:trHeight w:val="220"/>
          <w:jc w:val="center"/>
        </w:trPr>
        <w:tc>
          <w:tcPr>
            <w:tcW w:w="2116" w:type="dxa"/>
            <w:tcBorders>
              <w:top w:val="nil"/>
              <w:left w:val="nil"/>
              <w:bottom w:val="nil"/>
              <w:right w:val="nil"/>
            </w:tcBorders>
            <w:shd w:val="clear" w:color="auto" w:fill="F2F2F2"/>
            <w:tcMar>
              <w:top w:w="15" w:type="dxa"/>
              <w:left w:w="166" w:type="dxa"/>
              <w:bottom w:w="0" w:type="dxa"/>
              <w:right w:w="166" w:type="dxa"/>
            </w:tcMar>
            <w:hideMark/>
          </w:tcPr>
          <w:p w14:paraId="41CA5538" w14:textId="77777777" w:rsidR="00872116" w:rsidRPr="009656D7" w:rsidRDefault="00872116" w:rsidP="007C1734">
            <w:pPr>
              <w:ind w:leftChars="-77" w:left="-162" w:rightChars="-79" w:right="-166"/>
              <w:jc w:val="center"/>
              <w:rPr>
                <w:rFonts w:asciiTheme="minorEastAsia" w:hAnsiTheme="minorEastAsia"/>
              </w:rPr>
            </w:pPr>
            <w:r w:rsidRPr="009656D7">
              <w:rPr>
                <w:rFonts w:asciiTheme="minorEastAsia" w:hAnsiTheme="minorEastAsia" w:hint="eastAsia"/>
              </w:rPr>
              <w:t>既存調査の名称</w:t>
            </w:r>
          </w:p>
        </w:tc>
        <w:tc>
          <w:tcPr>
            <w:tcW w:w="5783" w:type="dxa"/>
            <w:tcBorders>
              <w:top w:val="nil"/>
              <w:left w:val="nil"/>
              <w:bottom w:val="nil"/>
              <w:right w:val="nil"/>
            </w:tcBorders>
            <w:shd w:val="clear" w:color="auto" w:fill="F2F2F2"/>
            <w:tcMar>
              <w:top w:w="15" w:type="dxa"/>
              <w:left w:w="166" w:type="dxa"/>
              <w:bottom w:w="0" w:type="dxa"/>
              <w:right w:w="166" w:type="dxa"/>
            </w:tcMar>
            <w:hideMark/>
          </w:tcPr>
          <w:p w14:paraId="0A3417C5" w14:textId="77777777" w:rsidR="00872116" w:rsidRPr="009656D7" w:rsidRDefault="00872116" w:rsidP="007C1734">
            <w:pPr>
              <w:ind w:rightChars="-98" w:right="-206"/>
              <w:jc w:val="center"/>
              <w:rPr>
                <w:rFonts w:asciiTheme="minorEastAsia" w:hAnsiTheme="minorEastAsia"/>
              </w:rPr>
            </w:pPr>
            <w:r w:rsidRPr="009656D7">
              <w:rPr>
                <w:rFonts w:asciiTheme="minorEastAsia" w:hAnsiTheme="minorEastAsia" w:hint="eastAsia"/>
              </w:rPr>
              <w:t>概要</w:t>
            </w:r>
          </w:p>
        </w:tc>
      </w:tr>
      <w:tr w:rsidR="00872116" w:rsidRPr="0013558A" w14:paraId="429A638A" w14:textId="77777777" w:rsidTr="007C1734">
        <w:trPr>
          <w:trHeight w:val="65"/>
          <w:jc w:val="center"/>
        </w:trPr>
        <w:tc>
          <w:tcPr>
            <w:tcW w:w="2116" w:type="dxa"/>
            <w:tcBorders>
              <w:top w:val="nil"/>
              <w:left w:val="nil"/>
              <w:bottom w:val="single" w:sz="4" w:space="0" w:color="7F7F7F" w:themeColor="text1" w:themeTint="80"/>
              <w:right w:val="nil"/>
            </w:tcBorders>
            <w:tcMar>
              <w:top w:w="15" w:type="dxa"/>
              <w:left w:w="166" w:type="dxa"/>
              <w:bottom w:w="0" w:type="dxa"/>
              <w:right w:w="166" w:type="dxa"/>
            </w:tcMar>
            <w:vAlign w:val="center"/>
          </w:tcPr>
          <w:p w14:paraId="5D9CC899" w14:textId="77777777" w:rsidR="00872116" w:rsidRPr="009656D7" w:rsidRDefault="00872116" w:rsidP="007C1734">
            <w:pPr>
              <w:spacing w:line="240" w:lineRule="exact"/>
              <w:ind w:leftChars="-77" w:left="-162" w:rightChars="-79" w:right="-166"/>
              <w:jc w:val="center"/>
              <w:rPr>
                <w:rFonts w:asciiTheme="minorEastAsia" w:hAnsiTheme="minorEastAsia"/>
              </w:rPr>
            </w:pPr>
            <w:r w:rsidRPr="009656D7">
              <w:rPr>
                <w:rFonts w:asciiTheme="minorEastAsia" w:hAnsiTheme="minorEastAsia" w:hint="eastAsia"/>
              </w:rPr>
              <w:t>来訪者調査</w:t>
            </w:r>
          </w:p>
        </w:tc>
        <w:tc>
          <w:tcPr>
            <w:tcW w:w="5783" w:type="dxa"/>
            <w:tcBorders>
              <w:top w:val="nil"/>
              <w:left w:val="nil"/>
              <w:bottom w:val="single" w:sz="4" w:space="0" w:color="7F7F7F" w:themeColor="text1" w:themeTint="80"/>
              <w:right w:val="nil"/>
            </w:tcBorders>
            <w:tcMar>
              <w:top w:w="15" w:type="dxa"/>
              <w:left w:w="166" w:type="dxa"/>
              <w:bottom w:w="0" w:type="dxa"/>
              <w:right w:w="166" w:type="dxa"/>
            </w:tcMar>
            <w:vAlign w:val="center"/>
          </w:tcPr>
          <w:p w14:paraId="62C88B71" w14:textId="77777777" w:rsidR="00872116" w:rsidRPr="009656D7" w:rsidRDefault="00872116" w:rsidP="007C1734">
            <w:pPr>
              <w:spacing w:beforeLines="20" w:before="72" w:afterLines="20" w:after="72" w:line="240" w:lineRule="exact"/>
              <w:ind w:rightChars="-30" w:right="-63"/>
              <w:rPr>
                <w:rFonts w:asciiTheme="minorEastAsia" w:hAnsiTheme="minorEastAsia"/>
              </w:rPr>
            </w:pPr>
            <w:r w:rsidRPr="009656D7">
              <w:rPr>
                <w:rFonts w:asciiTheme="minorEastAsia" w:hAnsiTheme="minorEastAsia" w:hint="eastAsia"/>
              </w:rPr>
              <w:t>中部地域の観光関連施設（</w:t>
            </w:r>
            <w:r w:rsidRPr="009656D7">
              <w:rPr>
                <w:rFonts w:asciiTheme="minorEastAsia" w:hAnsiTheme="minorEastAsia"/>
              </w:rPr>
              <w:t>160</w:t>
            </w:r>
            <w:r w:rsidRPr="009656D7">
              <w:rPr>
                <w:rFonts w:asciiTheme="minorEastAsia" w:hAnsiTheme="minorEastAsia"/>
              </w:rPr>
              <w:t>施設）への来訪者に対するアンケート調査。中部地域を訪れた日本人旅行客の動向や特性等を明らかにし、行政施策の立案や地域の観光関連事業者の</w:t>
            </w:r>
            <w:r>
              <w:rPr>
                <w:rFonts w:asciiTheme="minorEastAsia" w:hAnsiTheme="minorEastAsia" w:hint="eastAsia"/>
              </w:rPr>
              <w:t>具体的な施策</w:t>
            </w:r>
            <w:r w:rsidRPr="009656D7">
              <w:rPr>
                <w:rFonts w:asciiTheme="minorEastAsia" w:hAnsiTheme="minorEastAsia" w:hint="eastAsia"/>
              </w:rPr>
              <w:t>に繋がる知見を得る。</w:t>
            </w:r>
          </w:p>
        </w:tc>
      </w:tr>
      <w:tr w:rsidR="00872116" w:rsidRPr="0013558A" w14:paraId="5D465DDF" w14:textId="77777777" w:rsidTr="007C1734">
        <w:trPr>
          <w:trHeight w:val="65"/>
          <w:jc w:val="center"/>
        </w:trPr>
        <w:tc>
          <w:tcPr>
            <w:tcW w:w="2116" w:type="dxa"/>
            <w:tcBorders>
              <w:top w:val="nil"/>
              <w:left w:val="nil"/>
              <w:bottom w:val="single" w:sz="4" w:space="0" w:color="7F7F7F" w:themeColor="text1" w:themeTint="80"/>
              <w:right w:val="nil"/>
            </w:tcBorders>
            <w:tcMar>
              <w:top w:w="15" w:type="dxa"/>
              <w:left w:w="166" w:type="dxa"/>
              <w:bottom w:w="0" w:type="dxa"/>
              <w:right w:w="166" w:type="dxa"/>
            </w:tcMar>
            <w:vAlign w:val="center"/>
          </w:tcPr>
          <w:p w14:paraId="37E977C8" w14:textId="77777777" w:rsidR="00872116" w:rsidRPr="009656D7" w:rsidRDefault="00872116" w:rsidP="007C1734">
            <w:pPr>
              <w:spacing w:line="240" w:lineRule="exact"/>
              <w:ind w:leftChars="-77" w:left="-162" w:rightChars="-79" w:right="-166"/>
              <w:jc w:val="center"/>
              <w:rPr>
                <w:rFonts w:asciiTheme="minorEastAsia" w:hAnsiTheme="minorEastAsia"/>
              </w:rPr>
            </w:pPr>
            <w:r w:rsidRPr="009656D7">
              <w:rPr>
                <w:rFonts w:asciiTheme="minorEastAsia" w:hAnsiTheme="minorEastAsia" w:hint="eastAsia"/>
              </w:rPr>
              <w:t>ブランド力調査</w:t>
            </w:r>
          </w:p>
        </w:tc>
        <w:tc>
          <w:tcPr>
            <w:tcW w:w="5783" w:type="dxa"/>
            <w:tcBorders>
              <w:top w:val="nil"/>
              <w:left w:val="nil"/>
              <w:bottom w:val="single" w:sz="4" w:space="0" w:color="7F7F7F" w:themeColor="text1" w:themeTint="80"/>
              <w:right w:val="nil"/>
            </w:tcBorders>
            <w:tcMar>
              <w:top w:w="15" w:type="dxa"/>
              <w:left w:w="166" w:type="dxa"/>
              <w:bottom w:w="0" w:type="dxa"/>
              <w:right w:w="166" w:type="dxa"/>
            </w:tcMar>
            <w:vAlign w:val="center"/>
          </w:tcPr>
          <w:p w14:paraId="12A4F48C" w14:textId="77777777" w:rsidR="00872116" w:rsidRPr="009656D7" w:rsidRDefault="00872116" w:rsidP="007C1734">
            <w:pPr>
              <w:spacing w:beforeLines="20" w:before="72" w:afterLines="20" w:after="72" w:line="240" w:lineRule="exact"/>
              <w:ind w:rightChars="-30" w:right="-63"/>
              <w:rPr>
                <w:rFonts w:asciiTheme="minorEastAsia" w:hAnsiTheme="minorEastAsia"/>
              </w:rPr>
            </w:pPr>
            <w:r w:rsidRPr="009656D7">
              <w:rPr>
                <w:rFonts w:asciiTheme="minorEastAsia" w:hAnsiTheme="minorEastAsia" w:hint="eastAsia"/>
              </w:rPr>
              <w:t>静岡県中部地区の旅行先としてのブランド力（認知度）、ブランドイメージを把握する。</w:t>
            </w:r>
            <w:r w:rsidRPr="009656D7">
              <w:rPr>
                <w:rFonts w:asciiTheme="minorEastAsia" w:hAnsiTheme="minorEastAsia"/>
              </w:rPr>
              <w:t>KPI</w:t>
            </w:r>
            <w:r w:rsidRPr="009656D7">
              <w:rPr>
                <w:rFonts w:asciiTheme="minorEastAsia" w:hAnsiTheme="minorEastAsia"/>
              </w:rPr>
              <w:t>管理や施策の進捗状況の評価に活用。</w:t>
            </w:r>
          </w:p>
        </w:tc>
      </w:tr>
      <w:tr w:rsidR="00872116" w:rsidRPr="0013558A" w14:paraId="79AA4694" w14:textId="77777777" w:rsidTr="007C1734">
        <w:trPr>
          <w:trHeight w:val="162"/>
          <w:jc w:val="center"/>
        </w:trPr>
        <w:tc>
          <w:tcPr>
            <w:tcW w:w="2116" w:type="dxa"/>
            <w:tcBorders>
              <w:top w:val="single" w:sz="4" w:space="0" w:color="7F7F7F" w:themeColor="text1" w:themeTint="80"/>
              <w:left w:val="nil"/>
              <w:bottom w:val="single" w:sz="4" w:space="0" w:color="7F7F7F" w:themeColor="text1" w:themeTint="80"/>
              <w:right w:val="nil"/>
            </w:tcBorders>
            <w:tcMar>
              <w:top w:w="15" w:type="dxa"/>
              <w:left w:w="166" w:type="dxa"/>
              <w:bottom w:w="0" w:type="dxa"/>
              <w:right w:w="166" w:type="dxa"/>
            </w:tcMar>
            <w:vAlign w:val="center"/>
            <w:hideMark/>
          </w:tcPr>
          <w:p w14:paraId="6F8C2AFF" w14:textId="77777777" w:rsidR="00872116" w:rsidRPr="009656D7" w:rsidRDefault="00872116" w:rsidP="007C1734">
            <w:pPr>
              <w:spacing w:line="240" w:lineRule="exact"/>
              <w:ind w:leftChars="-77" w:left="-162" w:rightChars="-79" w:right="-166"/>
              <w:jc w:val="center"/>
              <w:rPr>
                <w:rFonts w:asciiTheme="minorEastAsia" w:hAnsiTheme="minorEastAsia"/>
              </w:rPr>
            </w:pPr>
            <w:r w:rsidRPr="009656D7">
              <w:rPr>
                <w:rFonts w:asciiTheme="minorEastAsia" w:hAnsiTheme="minorEastAsia" w:hint="eastAsia"/>
              </w:rPr>
              <w:t>イベント来場者調査</w:t>
            </w:r>
          </w:p>
        </w:tc>
        <w:tc>
          <w:tcPr>
            <w:tcW w:w="5783" w:type="dxa"/>
            <w:tcBorders>
              <w:top w:val="single" w:sz="4" w:space="0" w:color="7F7F7F" w:themeColor="text1" w:themeTint="80"/>
              <w:left w:val="nil"/>
              <w:bottom w:val="single" w:sz="4" w:space="0" w:color="7F7F7F" w:themeColor="text1" w:themeTint="80"/>
              <w:right w:val="nil"/>
            </w:tcBorders>
            <w:tcMar>
              <w:top w:w="15" w:type="dxa"/>
              <w:left w:w="166" w:type="dxa"/>
              <w:bottom w:w="0" w:type="dxa"/>
              <w:right w:w="166" w:type="dxa"/>
            </w:tcMar>
            <w:vAlign w:val="center"/>
            <w:hideMark/>
          </w:tcPr>
          <w:p w14:paraId="6F5A638F" w14:textId="77777777" w:rsidR="00872116" w:rsidRPr="009656D7" w:rsidRDefault="00872116" w:rsidP="007C1734">
            <w:pPr>
              <w:spacing w:beforeLines="20" w:before="72" w:afterLines="20" w:after="72" w:line="240" w:lineRule="exact"/>
              <w:ind w:rightChars="-30" w:right="-63"/>
              <w:rPr>
                <w:rFonts w:asciiTheme="minorEastAsia" w:hAnsiTheme="minorEastAsia"/>
              </w:rPr>
            </w:pPr>
            <w:r w:rsidRPr="009656D7">
              <w:rPr>
                <w:rFonts w:asciiTheme="minorEastAsia" w:hAnsiTheme="minorEastAsia" w:hint="eastAsia"/>
              </w:rPr>
              <w:t>中部地域のまつりなどのイベントの来場者を対象としたアンケート調査。</w:t>
            </w:r>
          </w:p>
        </w:tc>
      </w:tr>
      <w:tr w:rsidR="00872116" w:rsidRPr="0013558A" w14:paraId="44BF1015" w14:textId="77777777" w:rsidTr="007C1734">
        <w:trPr>
          <w:trHeight w:val="155"/>
          <w:jc w:val="center"/>
        </w:trPr>
        <w:tc>
          <w:tcPr>
            <w:tcW w:w="2116" w:type="dxa"/>
            <w:tcBorders>
              <w:top w:val="single" w:sz="4" w:space="0" w:color="7F7F7F" w:themeColor="text1" w:themeTint="80"/>
              <w:left w:val="nil"/>
              <w:bottom w:val="single" w:sz="4" w:space="0" w:color="7F7F7F" w:themeColor="text1" w:themeTint="80"/>
              <w:right w:val="nil"/>
            </w:tcBorders>
            <w:tcMar>
              <w:top w:w="15" w:type="dxa"/>
              <w:left w:w="166" w:type="dxa"/>
              <w:bottom w:w="0" w:type="dxa"/>
              <w:right w:w="166" w:type="dxa"/>
            </w:tcMar>
            <w:vAlign w:val="center"/>
          </w:tcPr>
          <w:p w14:paraId="14628FAF" w14:textId="77777777" w:rsidR="00872116" w:rsidRDefault="00872116" w:rsidP="007C1734">
            <w:pPr>
              <w:spacing w:line="240" w:lineRule="exact"/>
              <w:ind w:leftChars="-77" w:left="-162" w:rightChars="-79" w:right="-166"/>
              <w:jc w:val="center"/>
              <w:rPr>
                <w:rFonts w:asciiTheme="minorEastAsia" w:hAnsiTheme="minorEastAsia"/>
              </w:rPr>
            </w:pPr>
            <w:r w:rsidRPr="009656D7">
              <w:rPr>
                <w:rFonts w:asciiTheme="minorEastAsia" w:hAnsiTheme="minorEastAsia" w:hint="eastAsia"/>
              </w:rPr>
              <w:t>インバウンド調査</w:t>
            </w:r>
          </w:p>
          <w:p w14:paraId="242EE00D" w14:textId="77777777" w:rsidR="00872116" w:rsidRPr="009656D7" w:rsidRDefault="00872116" w:rsidP="007C1734">
            <w:pPr>
              <w:spacing w:line="240" w:lineRule="exact"/>
              <w:ind w:leftChars="-77" w:left="-162" w:rightChars="-79" w:right="-166"/>
              <w:jc w:val="center"/>
              <w:rPr>
                <w:rFonts w:asciiTheme="minorEastAsia" w:hAnsiTheme="minorEastAsia"/>
              </w:rPr>
            </w:pPr>
            <w:r>
              <w:rPr>
                <w:rFonts w:asciiTheme="minorEastAsia" w:hAnsiTheme="minorEastAsia" w:hint="eastAsia"/>
              </w:rPr>
              <w:t>（観光関連施設）</w:t>
            </w:r>
          </w:p>
        </w:tc>
        <w:tc>
          <w:tcPr>
            <w:tcW w:w="5783" w:type="dxa"/>
            <w:tcBorders>
              <w:top w:val="single" w:sz="4" w:space="0" w:color="7F7F7F" w:themeColor="text1" w:themeTint="80"/>
              <w:left w:val="nil"/>
              <w:bottom w:val="single" w:sz="4" w:space="0" w:color="7F7F7F" w:themeColor="text1" w:themeTint="80"/>
              <w:right w:val="nil"/>
            </w:tcBorders>
            <w:tcMar>
              <w:top w:w="15" w:type="dxa"/>
              <w:left w:w="166" w:type="dxa"/>
              <w:bottom w:w="0" w:type="dxa"/>
              <w:right w:w="166" w:type="dxa"/>
            </w:tcMar>
            <w:vAlign w:val="center"/>
          </w:tcPr>
          <w:p w14:paraId="35562465" w14:textId="77777777" w:rsidR="00872116" w:rsidRPr="009656D7" w:rsidRDefault="00872116" w:rsidP="007C1734">
            <w:pPr>
              <w:spacing w:beforeLines="20" w:before="72" w:afterLines="20" w:after="72" w:line="240" w:lineRule="exact"/>
              <w:ind w:rightChars="-30" w:right="-63"/>
              <w:rPr>
                <w:rFonts w:asciiTheme="minorEastAsia" w:hAnsiTheme="minorEastAsia"/>
              </w:rPr>
            </w:pPr>
            <w:r w:rsidRPr="009656D7">
              <w:rPr>
                <w:rFonts w:asciiTheme="minorEastAsia" w:hAnsiTheme="minorEastAsia" w:hint="eastAsia"/>
              </w:rPr>
              <w:t>中部地域の観光関連施設に訪れたインバウンドを対象としたアンケート調査。中部地域を訪れた外国人旅行客の動向や特性等を明らかにし、行政施策の立案や地域の観光関連事業者の</w:t>
            </w:r>
            <w:r>
              <w:rPr>
                <w:rFonts w:asciiTheme="minorEastAsia" w:hAnsiTheme="minorEastAsia" w:hint="eastAsia"/>
              </w:rPr>
              <w:t>具体的な施策</w:t>
            </w:r>
            <w:r w:rsidRPr="009656D7">
              <w:rPr>
                <w:rFonts w:asciiTheme="minorEastAsia" w:hAnsiTheme="minorEastAsia" w:hint="eastAsia"/>
              </w:rPr>
              <w:t>に繋がる知見を得る。</w:t>
            </w:r>
          </w:p>
        </w:tc>
      </w:tr>
      <w:tr w:rsidR="00872116" w:rsidRPr="00C8222A" w14:paraId="0D355964" w14:textId="77777777" w:rsidTr="007C1734">
        <w:trPr>
          <w:trHeight w:val="155"/>
          <w:jc w:val="center"/>
        </w:trPr>
        <w:tc>
          <w:tcPr>
            <w:tcW w:w="2116" w:type="dxa"/>
            <w:tcBorders>
              <w:top w:val="single" w:sz="4" w:space="0" w:color="7F7F7F" w:themeColor="text1" w:themeTint="80"/>
              <w:left w:val="nil"/>
              <w:bottom w:val="single" w:sz="4" w:space="0" w:color="7F7F7F" w:themeColor="text1" w:themeTint="80"/>
              <w:right w:val="nil"/>
            </w:tcBorders>
            <w:tcMar>
              <w:top w:w="15" w:type="dxa"/>
              <w:left w:w="166" w:type="dxa"/>
              <w:bottom w:w="0" w:type="dxa"/>
              <w:right w:w="166" w:type="dxa"/>
            </w:tcMar>
            <w:vAlign w:val="center"/>
          </w:tcPr>
          <w:p w14:paraId="70D8C3DA" w14:textId="77777777" w:rsidR="00872116" w:rsidRPr="009656D7" w:rsidRDefault="00872116" w:rsidP="007C1734">
            <w:pPr>
              <w:spacing w:line="240" w:lineRule="exact"/>
              <w:ind w:leftChars="-77" w:left="-162" w:rightChars="-79" w:right="-166"/>
              <w:jc w:val="center"/>
              <w:rPr>
                <w:rFonts w:asciiTheme="minorEastAsia" w:hAnsiTheme="minorEastAsia"/>
              </w:rPr>
            </w:pPr>
            <w:r w:rsidRPr="009656D7">
              <w:rPr>
                <w:rFonts w:asciiTheme="minorEastAsia" w:hAnsiTheme="minorEastAsia" w:hint="eastAsia"/>
              </w:rPr>
              <w:t>インバウンド調査</w:t>
            </w:r>
          </w:p>
          <w:p w14:paraId="46DE7450" w14:textId="77777777" w:rsidR="00872116" w:rsidRPr="009656D7" w:rsidRDefault="00872116" w:rsidP="007C1734">
            <w:pPr>
              <w:spacing w:line="240" w:lineRule="exact"/>
              <w:ind w:leftChars="-77" w:left="-162" w:rightChars="-79" w:right="-166"/>
              <w:jc w:val="center"/>
              <w:rPr>
                <w:rFonts w:asciiTheme="minorEastAsia" w:hAnsiTheme="minorEastAsia"/>
              </w:rPr>
            </w:pPr>
            <w:r>
              <w:rPr>
                <w:rFonts w:asciiTheme="minorEastAsia" w:hAnsiTheme="minorEastAsia" w:hint="eastAsia"/>
              </w:rPr>
              <w:t>（</w:t>
            </w:r>
            <w:r w:rsidRPr="009656D7">
              <w:rPr>
                <w:rFonts w:asciiTheme="minorEastAsia" w:hAnsiTheme="minorEastAsia" w:hint="eastAsia"/>
              </w:rPr>
              <w:t>富士山静岡空港</w:t>
            </w:r>
            <w:r>
              <w:rPr>
                <w:rFonts w:asciiTheme="minorEastAsia" w:hAnsiTheme="minorEastAsia" w:hint="eastAsia"/>
              </w:rPr>
              <w:t>）</w:t>
            </w:r>
          </w:p>
        </w:tc>
        <w:tc>
          <w:tcPr>
            <w:tcW w:w="5783" w:type="dxa"/>
            <w:tcBorders>
              <w:top w:val="single" w:sz="4" w:space="0" w:color="7F7F7F" w:themeColor="text1" w:themeTint="80"/>
              <w:left w:val="nil"/>
              <w:bottom w:val="single" w:sz="4" w:space="0" w:color="7F7F7F" w:themeColor="text1" w:themeTint="80"/>
              <w:right w:val="nil"/>
            </w:tcBorders>
            <w:tcMar>
              <w:top w:w="15" w:type="dxa"/>
              <w:left w:w="166" w:type="dxa"/>
              <w:bottom w:w="0" w:type="dxa"/>
              <w:right w:w="166" w:type="dxa"/>
            </w:tcMar>
            <w:vAlign w:val="center"/>
          </w:tcPr>
          <w:p w14:paraId="5F20ED1D" w14:textId="77777777" w:rsidR="00872116" w:rsidRPr="009656D7" w:rsidRDefault="00872116" w:rsidP="007C1734">
            <w:pPr>
              <w:spacing w:beforeLines="20" w:before="72" w:afterLines="20" w:after="72" w:line="240" w:lineRule="exact"/>
              <w:ind w:rightChars="-30" w:right="-63"/>
              <w:rPr>
                <w:rFonts w:asciiTheme="minorEastAsia" w:hAnsiTheme="minorEastAsia"/>
              </w:rPr>
            </w:pPr>
            <w:r w:rsidRPr="009656D7">
              <w:rPr>
                <w:rFonts w:asciiTheme="minorEastAsia" w:hAnsiTheme="minorEastAsia" w:hint="eastAsia"/>
              </w:rPr>
              <w:t>静岡空港からの出国者（主に帰国者）へ行うアンケート調査。静岡空港を利用する層の特性を明らかにし、インバウンドの中でも更に的を絞った施策の実現につなげる。</w:t>
            </w:r>
          </w:p>
        </w:tc>
      </w:tr>
      <w:tr w:rsidR="00872116" w:rsidRPr="00C8222A" w14:paraId="4DA7CA13" w14:textId="77777777" w:rsidTr="007C1734">
        <w:trPr>
          <w:trHeight w:val="155"/>
          <w:jc w:val="center"/>
        </w:trPr>
        <w:tc>
          <w:tcPr>
            <w:tcW w:w="2116" w:type="dxa"/>
            <w:tcBorders>
              <w:top w:val="single" w:sz="4" w:space="0" w:color="7F7F7F" w:themeColor="text1" w:themeTint="80"/>
              <w:left w:val="nil"/>
              <w:bottom w:val="single" w:sz="4" w:space="0" w:color="7F7F7F" w:themeColor="text1" w:themeTint="80"/>
              <w:right w:val="nil"/>
            </w:tcBorders>
            <w:tcMar>
              <w:top w:w="15" w:type="dxa"/>
              <w:left w:w="166" w:type="dxa"/>
              <w:bottom w:w="0" w:type="dxa"/>
              <w:right w:w="166" w:type="dxa"/>
            </w:tcMar>
            <w:vAlign w:val="center"/>
          </w:tcPr>
          <w:p w14:paraId="52B2FB5D" w14:textId="77777777" w:rsidR="00872116" w:rsidRPr="009656D7" w:rsidRDefault="00872116" w:rsidP="007C1734">
            <w:pPr>
              <w:spacing w:line="240" w:lineRule="exact"/>
              <w:ind w:leftChars="-77" w:left="-162" w:rightChars="-79" w:right="-166"/>
              <w:jc w:val="center"/>
              <w:rPr>
                <w:rFonts w:asciiTheme="minorEastAsia" w:hAnsiTheme="minorEastAsia"/>
              </w:rPr>
            </w:pPr>
            <w:r w:rsidRPr="009656D7">
              <w:rPr>
                <w:rFonts w:asciiTheme="minorEastAsia" w:hAnsiTheme="minorEastAsia" w:hint="eastAsia"/>
              </w:rPr>
              <w:t>インバウンド調査</w:t>
            </w:r>
          </w:p>
          <w:p w14:paraId="3761F4CE" w14:textId="77777777" w:rsidR="00872116" w:rsidRPr="009656D7" w:rsidRDefault="00872116" w:rsidP="007C1734">
            <w:pPr>
              <w:spacing w:line="240" w:lineRule="exact"/>
              <w:ind w:leftChars="-77" w:left="-162" w:rightChars="-79" w:right="-166"/>
              <w:jc w:val="center"/>
              <w:rPr>
                <w:rFonts w:asciiTheme="minorEastAsia" w:hAnsiTheme="minorEastAsia"/>
              </w:rPr>
            </w:pPr>
            <w:r>
              <w:rPr>
                <w:rFonts w:asciiTheme="minorEastAsia" w:hAnsiTheme="minorEastAsia" w:hint="eastAsia"/>
              </w:rPr>
              <w:t>（</w:t>
            </w:r>
            <w:r w:rsidRPr="009656D7">
              <w:rPr>
                <w:rFonts w:asciiTheme="minorEastAsia" w:hAnsiTheme="minorEastAsia" w:hint="eastAsia"/>
              </w:rPr>
              <w:t>清水港クルーズ船</w:t>
            </w:r>
            <w:r>
              <w:rPr>
                <w:rFonts w:asciiTheme="minorEastAsia" w:hAnsiTheme="minorEastAsia" w:hint="eastAsia"/>
              </w:rPr>
              <w:t>）</w:t>
            </w:r>
          </w:p>
        </w:tc>
        <w:tc>
          <w:tcPr>
            <w:tcW w:w="5783" w:type="dxa"/>
            <w:tcBorders>
              <w:top w:val="single" w:sz="4" w:space="0" w:color="7F7F7F" w:themeColor="text1" w:themeTint="80"/>
              <w:left w:val="nil"/>
              <w:bottom w:val="single" w:sz="4" w:space="0" w:color="7F7F7F" w:themeColor="text1" w:themeTint="80"/>
              <w:right w:val="nil"/>
            </w:tcBorders>
            <w:tcMar>
              <w:top w:w="15" w:type="dxa"/>
              <w:left w:w="166" w:type="dxa"/>
              <w:bottom w:w="0" w:type="dxa"/>
              <w:right w:w="166" w:type="dxa"/>
            </w:tcMar>
            <w:vAlign w:val="center"/>
          </w:tcPr>
          <w:p w14:paraId="43F94A64" w14:textId="77777777" w:rsidR="00872116" w:rsidRPr="009656D7" w:rsidRDefault="00872116" w:rsidP="007C1734">
            <w:pPr>
              <w:spacing w:beforeLines="20" w:before="72" w:afterLines="20" w:after="72" w:line="240" w:lineRule="exact"/>
              <w:ind w:rightChars="-30" w:right="-63"/>
              <w:rPr>
                <w:rFonts w:asciiTheme="minorEastAsia" w:hAnsiTheme="minorEastAsia"/>
              </w:rPr>
            </w:pPr>
            <w:r w:rsidRPr="009656D7">
              <w:rPr>
                <w:rFonts w:asciiTheme="minorEastAsia" w:hAnsiTheme="minorEastAsia" w:hint="eastAsia"/>
              </w:rPr>
              <w:t>清水港へのクルーズ船寄港時に乗船客へ行うアンケート調査。クルーズ船客の周遊動向や寄港時のニーズ等を明らかにし、主に港湾周辺での受入対応整備や消費拡大を図る。</w:t>
            </w:r>
          </w:p>
        </w:tc>
      </w:tr>
      <w:tr w:rsidR="00872116" w:rsidRPr="0013558A" w14:paraId="546407FE" w14:textId="77777777" w:rsidTr="007C1734">
        <w:trPr>
          <w:trHeight w:val="155"/>
          <w:jc w:val="center"/>
        </w:trPr>
        <w:tc>
          <w:tcPr>
            <w:tcW w:w="2116" w:type="dxa"/>
            <w:tcBorders>
              <w:top w:val="single" w:sz="4" w:space="0" w:color="7F7F7F" w:themeColor="text1" w:themeTint="80"/>
              <w:left w:val="nil"/>
              <w:bottom w:val="single" w:sz="4" w:space="0" w:color="7F7F7F" w:themeColor="text1" w:themeTint="80"/>
              <w:right w:val="nil"/>
            </w:tcBorders>
            <w:tcMar>
              <w:top w:w="15" w:type="dxa"/>
              <w:left w:w="166" w:type="dxa"/>
              <w:bottom w:w="0" w:type="dxa"/>
              <w:right w:w="166" w:type="dxa"/>
            </w:tcMar>
            <w:vAlign w:val="center"/>
          </w:tcPr>
          <w:p w14:paraId="39001C63" w14:textId="77777777" w:rsidR="00872116" w:rsidRPr="009656D7" w:rsidRDefault="00872116" w:rsidP="007C1734">
            <w:pPr>
              <w:spacing w:line="240" w:lineRule="exact"/>
              <w:ind w:leftChars="-77" w:left="-162" w:rightChars="-79" w:right="-166"/>
              <w:jc w:val="center"/>
              <w:rPr>
                <w:rFonts w:asciiTheme="minorEastAsia" w:hAnsiTheme="minorEastAsia"/>
              </w:rPr>
            </w:pPr>
            <w:r w:rsidRPr="009656D7">
              <w:rPr>
                <w:rFonts w:asciiTheme="minorEastAsia" w:hAnsiTheme="minorEastAsia" w:hint="eastAsia"/>
              </w:rPr>
              <w:t>観光関連事業者</w:t>
            </w:r>
          </w:p>
          <w:p w14:paraId="544DC181" w14:textId="77777777" w:rsidR="00872116" w:rsidRPr="009656D7" w:rsidRDefault="00872116" w:rsidP="007C1734">
            <w:pPr>
              <w:spacing w:line="240" w:lineRule="exact"/>
              <w:ind w:leftChars="-77" w:left="-162" w:rightChars="-79" w:right="-166"/>
              <w:jc w:val="center"/>
              <w:rPr>
                <w:rFonts w:asciiTheme="minorEastAsia" w:hAnsiTheme="minorEastAsia"/>
              </w:rPr>
            </w:pPr>
            <w:r w:rsidRPr="009656D7">
              <w:rPr>
                <w:rFonts w:asciiTheme="minorEastAsia" w:hAnsiTheme="minorEastAsia" w:hint="eastAsia"/>
              </w:rPr>
              <w:t>実態調査</w:t>
            </w:r>
          </w:p>
        </w:tc>
        <w:tc>
          <w:tcPr>
            <w:tcW w:w="5783" w:type="dxa"/>
            <w:tcBorders>
              <w:top w:val="single" w:sz="4" w:space="0" w:color="7F7F7F" w:themeColor="text1" w:themeTint="80"/>
              <w:left w:val="nil"/>
              <w:bottom w:val="single" w:sz="4" w:space="0" w:color="7F7F7F" w:themeColor="text1" w:themeTint="80"/>
              <w:right w:val="nil"/>
            </w:tcBorders>
            <w:tcMar>
              <w:top w:w="15" w:type="dxa"/>
              <w:left w:w="166" w:type="dxa"/>
              <w:bottom w:w="0" w:type="dxa"/>
              <w:right w:w="166" w:type="dxa"/>
            </w:tcMar>
            <w:vAlign w:val="center"/>
          </w:tcPr>
          <w:p w14:paraId="46054CE7" w14:textId="77777777" w:rsidR="00872116" w:rsidRPr="009656D7" w:rsidRDefault="00872116" w:rsidP="007C1734">
            <w:pPr>
              <w:spacing w:beforeLines="20" w:before="72" w:afterLines="20" w:after="72" w:line="240" w:lineRule="exact"/>
              <w:ind w:rightChars="-30" w:right="-63"/>
              <w:rPr>
                <w:rFonts w:asciiTheme="minorEastAsia" w:hAnsiTheme="minorEastAsia"/>
              </w:rPr>
            </w:pPr>
            <w:r w:rsidRPr="009656D7">
              <w:rPr>
                <w:rFonts w:asciiTheme="minorEastAsia" w:hAnsiTheme="minorEastAsia" w:hint="eastAsia"/>
              </w:rPr>
              <w:t>観光関連事業者の抱える課題を明らかにし、行政等の施策立案に活かす。また当地域において</w:t>
            </w:r>
            <w:r>
              <w:rPr>
                <w:rFonts w:asciiTheme="minorEastAsia" w:hAnsiTheme="minorEastAsia" w:hint="eastAsia"/>
              </w:rPr>
              <w:t>好</w:t>
            </w:r>
            <w:r w:rsidRPr="009656D7">
              <w:rPr>
                <w:rFonts w:asciiTheme="minorEastAsia" w:hAnsiTheme="minorEastAsia" w:hint="eastAsia"/>
              </w:rPr>
              <w:t>業績に結びつく要因を分析し、事業者等に提案を行う。</w:t>
            </w:r>
          </w:p>
        </w:tc>
      </w:tr>
    </w:tbl>
    <w:p w14:paraId="618D595C" w14:textId="77777777" w:rsidR="00872116" w:rsidRPr="005C3D50" w:rsidRDefault="00872116" w:rsidP="00872116">
      <w:pPr>
        <w:pStyle w:val="af"/>
        <w:numPr>
          <w:ilvl w:val="0"/>
          <w:numId w:val="2"/>
        </w:numPr>
        <w:autoSpaceDE w:val="0"/>
        <w:autoSpaceDN w:val="0"/>
        <w:ind w:leftChars="0" w:rightChars="20" w:right="42"/>
        <w:rPr>
          <w:rFonts w:ascii="ＭＳ 明朝" w:eastAsia="ＭＳ 明朝" w:hAnsi="ＭＳ 明朝"/>
          <w:szCs w:val="21"/>
        </w:rPr>
      </w:pPr>
      <w:r w:rsidRPr="005C3D50">
        <w:rPr>
          <w:rFonts w:ascii="ＭＳ 明朝" w:eastAsia="ＭＳ 明朝" w:hAnsi="ＭＳ 明朝" w:hint="eastAsia"/>
          <w:szCs w:val="21"/>
        </w:rPr>
        <w:lastRenderedPageBreak/>
        <w:t>新規調査の開始に伴う助言</w:t>
      </w:r>
    </w:p>
    <w:p w14:paraId="06A9FE8F" w14:textId="77777777" w:rsidR="00872116" w:rsidRDefault="00872116" w:rsidP="00872116">
      <w:pPr>
        <w:autoSpaceDE w:val="0"/>
        <w:autoSpaceDN w:val="0"/>
        <w:ind w:leftChars="135" w:left="283" w:rightChars="20" w:right="42" w:firstLineChars="135" w:firstLine="283"/>
        <w:rPr>
          <w:rFonts w:ascii="ＭＳ 明朝" w:hAnsi="ＭＳ 明朝"/>
          <w:szCs w:val="21"/>
        </w:rPr>
      </w:pPr>
      <w:r>
        <w:rPr>
          <w:rFonts w:ascii="ＭＳ 明朝" w:hAnsi="ＭＳ 明朝" w:hint="eastAsia"/>
          <w:szCs w:val="21"/>
        </w:rPr>
        <w:t>当財団が独自に取得を開始する以下の指標について、その目的に合わせ効率的かつ効果的な調査ができるよう調査手法および分析手法等について助言を行う。なお、調査の実施および分析は含まない。</w:t>
      </w:r>
    </w:p>
    <w:p w14:paraId="42976926" w14:textId="77777777" w:rsidR="00872116" w:rsidRDefault="00872116" w:rsidP="00872116">
      <w:pPr>
        <w:autoSpaceDE w:val="0"/>
        <w:autoSpaceDN w:val="0"/>
        <w:ind w:rightChars="20" w:right="42"/>
        <w:rPr>
          <w:rFonts w:ascii="ＭＳ 明朝" w:hAnsi="ＭＳ 明朝"/>
          <w:szCs w:val="21"/>
        </w:rPr>
      </w:pPr>
    </w:p>
    <w:tbl>
      <w:tblPr>
        <w:tblW w:w="7899" w:type="dxa"/>
        <w:jc w:val="center"/>
        <w:tblCellMar>
          <w:left w:w="0" w:type="dxa"/>
          <w:right w:w="0" w:type="dxa"/>
        </w:tblCellMar>
        <w:tblLook w:val="04A0" w:firstRow="1" w:lastRow="0" w:firstColumn="1" w:lastColumn="0" w:noHBand="0" w:noVBand="1"/>
      </w:tblPr>
      <w:tblGrid>
        <w:gridCol w:w="2116"/>
        <w:gridCol w:w="5783"/>
      </w:tblGrid>
      <w:tr w:rsidR="00872116" w:rsidRPr="0013558A" w14:paraId="12A19D65" w14:textId="77777777" w:rsidTr="007C1734">
        <w:trPr>
          <w:trHeight w:val="220"/>
          <w:jc w:val="center"/>
        </w:trPr>
        <w:tc>
          <w:tcPr>
            <w:tcW w:w="2116" w:type="dxa"/>
            <w:tcBorders>
              <w:top w:val="nil"/>
              <w:left w:val="nil"/>
              <w:bottom w:val="nil"/>
              <w:right w:val="nil"/>
            </w:tcBorders>
            <w:shd w:val="clear" w:color="auto" w:fill="F2F2F2"/>
            <w:tcMar>
              <w:top w:w="15" w:type="dxa"/>
              <w:left w:w="166" w:type="dxa"/>
              <w:bottom w:w="0" w:type="dxa"/>
              <w:right w:w="166" w:type="dxa"/>
            </w:tcMar>
            <w:hideMark/>
          </w:tcPr>
          <w:p w14:paraId="45A9AF4C" w14:textId="77777777" w:rsidR="00872116" w:rsidRPr="009656D7" w:rsidRDefault="00872116" w:rsidP="007C1734">
            <w:pPr>
              <w:ind w:leftChars="-77" w:left="-162" w:rightChars="-79" w:right="-166"/>
              <w:jc w:val="center"/>
              <w:rPr>
                <w:rFonts w:asciiTheme="minorEastAsia" w:hAnsiTheme="minorEastAsia"/>
              </w:rPr>
            </w:pPr>
            <w:r w:rsidRPr="009656D7">
              <w:rPr>
                <w:rFonts w:asciiTheme="minorEastAsia" w:hAnsiTheme="minorEastAsia" w:hint="eastAsia"/>
              </w:rPr>
              <w:t>新規指標の名称</w:t>
            </w:r>
          </w:p>
        </w:tc>
        <w:tc>
          <w:tcPr>
            <w:tcW w:w="5783" w:type="dxa"/>
            <w:tcBorders>
              <w:top w:val="nil"/>
              <w:left w:val="nil"/>
              <w:bottom w:val="nil"/>
              <w:right w:val="nil"/>
            </w:tcBorders>
            <w:shd w:val="clear" w:color="auto" w:fill="F2F2F2"/>
            <w:tcMar>
              <w:top w:w="15" w:type="dxa"/>
              <w:left w:w="166" w:type="dxa"/>
              <w:bottom w:w="0" w:type="dxa"/>
              <w:right w:w="166" w:type="dxa"/>
            </w:tcMar>
            <w:hideMark/>
          </w:tcPr>
          <w:p w14:paraId="19B6BDF2" w14:textId="77777777" w:rsidR="00872116" w:rsidRPr="009656D7" w:rsidRDefault="00872116" w:rsidP="007C1734">
            <w:pPr>
              <w:jc w:val="center"/>
              <w:rPr>
                <w:rFonts w:asciiTheme="minorEastAsia" w:hAnsiTheme="minorEastAsia"/>
              </w:rPr>
            </w:pPr>
            <w:r w:rsidRPr="009656D7">
              <w:rPr>
                <w:rFonts w:asciiTheme="minorEastAsia" w:hAnsiTheme="minorEastAsia" w:hint="eastAsia"/>
              </w:rPr>
              <w:t>概要</w:t>
            </w:r>
          </w:p>
        </w:tc>
      </w:tr>
      <w:tr w:rsidR="00872116" w:rsidRPr="00C8222A" w14:paraId="5722F571" w14:textId="77777777" w:rsidTr="007C1734">
        <w:trPr>
          <w:trHeight w:val="65"/>
          <w:jc w:val="center"/>
        </w:trPr>
        <w:tc>
          <w:tcPr>
            <w:tcW w:w="2116" w:type="dxa"/>
            <w:tcBorders>
              <w:top w:val="nil"/>
              <w:left w:val="nil"/>
              <w:bottom w:val="single" w:sz="4" w:space="0" w:color="7F7F7F" w:themeColor="text1" w:themeTint="80"/>
              <w:right w:val="nil"/>
            </w:tcBorders>
            <w:tcMar>
              <w:top w:w="15" w:type="dxa"/>
              <w:left w:w="166" w:type="dxa"/>
              <w:bottom w:w="0" w:type="dxa"/>
              <w:right w:w="166" w:type="dxa"/>
            </w:tcMar>
            <w:vAlign w:val="center"/>
          </w:tcPr>
          <w:p w14:paraId="5D1FF32C" w14:textId="77777777" w:rsidR="00872116" w:rsidRPr="009656D7" w:rsidRDefault="00872116" w:rsidP="007C1734">
            <w:pPr>
              <w:spacing w:line="240" w:lineRule="exact"/>
              <w:ind w:leftChars="-77" w:left="-162" w:rightChars="-79" w:right="-166"/>
              <w:jc w:val="center"/>
              <w:rPr>
                <w:rFonts w:asciiTheme="minorEastAsia" w:hAnsiTheme="minorEastAsia"/>
              </w:rPr>
            </w:pPr>
            <w:r w:rsidRPr="009656D7">
              <w:rPr>
                <w:rFonts w:asciiTheme="minorEastAsia" w:hAnsiTheme="minorEastAsia" w:hint="eastAsia"/>
              </w:rPr>
              <w:t>経済波及効果</w:t>
            </w:r>
          </w:p>
        </w:tc>
        <w:tc>
          <w:tcPr>
            <w:tcW w:w="5783" w:type="dxa"/>
            <w:tcBorders>
              <w:top w:val="nil"/>
              <w:left w:val="nil"/>
              <w:bottom w:val="single" w:sz="4" w:space="0" w:color="7F7F7F" w:themeColor="text1" w:themeTint="80"/>
              <w:right w:val="nil"/>
            </w:tcBorders>
            <w:tcMar>
              <w:top w:w="15" w:type="dxa"/>
              <w:left w:w="166" w:type="dxa"/>
              <w:bottom w:w="0" w:type="dxa"/>
              <w:right w:w="166" w:type="dxa"/>
            </w:tcMar>
            <w:vAlign w:val="center"/>
          </w:tcPr>
          <w:p w14:paraId="2DC0C3C4" w14:textId="77777777" w:rsidR="00872116" w:rsidRPr="009656D7" w:rsidRDefault="00872116" w:rsidP="007C1734">
            <w:pPr>
              <w:spacing w:beforeLines="20" w:before="72" w:afterLines="20" w:after="72" w:line="240" w:lineRule="exact"/>
              <w:rPr>
                <w:rFonts w:asciiTheme="minorEastAsia" w:hAnsiTheme="minorEastAsia"/>
              </w:rPr>
            </w:pPr>
            <w:r w:rsidRPr="009656D7">
              <w:rPr>
                <w:rFonts w:asciiTheme="minorEastAsia" w:hAnsiTheme="minorEastAsia"/>
              </w:rPr>
              <w:t>観光が地域の経済面に与える効果の大きさを示すため、来訪者によって当地域における生産を誘発する</w:t>
            </w:r>
            <w:r>
              <w:rPr>
                <w:rFonts w:asciiTheme="minorEastAsia" w:hAnsiTheme="minorEastAsia" w:hint="eastAsia"/>
              </w:rPr>
              <w:t>影響度を</w:t>
            </w:r>
            <w:r w:rsidRPr="009656D7">
              <w:rPr>
                <w:rFonts w:asciiTheme="minorEastAsia" w:hAnsiTheme="minorEastAsia"/>
              </w:rPr>
              <w:t>金額として算出する。各市町の産業連関表および旅行消費額等から一定程度の精度で算出可能な手法を定める。また、本取り組みにより得られた経済波及効果の算出ノウハウを、他の個別事業の施策検討に活かす。</w:t>
            </w:r>
          </w:p>
        </w:tc>
      </w:tr>
      <w:tr w:rsidR="00872116" w:rsidRPr="0013558A" w14:paraId="3D43EC6D" w14:textId="77777777" w:rsidTr="007C1734">
        <w:trPr>
          <w:trHeight w:val="65"/>
          <w:jc w:val="center"/>
        </w:trPr>
        <w:tc>
          <w:tcPr>
            <w:tcW w:w="2116" w:type="dxa"/>
            <w:tcBorders>
              <w:top w:val="nil"/>
              <w:left w:val="nil"/>
              <w:bottom w:val="single" w:sz="4" w:space="0" w:color="7F7F7F" w:themeColor="text1" w:themeTint="80"/>
              <w:right w:val="nil"/>
            </w:tcBorders>
            <w:tcMar>
              <w:top w:w="15" w:type="dxa"/>
              <w:left w:w="166" w:type="dxa"/>
              <w:bottom w:w="0" w:type="dxa"/>
              <w:right w:w="166" w:type="dxa"/>
            </w:tcMar>
            <w:vAlign w:val="center"/>
          </w:tcPr>
          <w:p w14:paraId="732ED593" w14:textId="77777777" w:rsidR="00872116" w:rsidRPr="009656D7" w:rsidRDefault="00872116" w:rsidP="007C1734">
            <w:pPr>
              <w:spacing w:line="240" w:lineRule="exact"/>
              <w:ind w:leftChars="-77" w:left="-162" w:rightChars="-79" w:right="-166"/>
              <w:jc w:val="center"/>
              <w:rPr>
                <w:rFonts w:asciiTheme="minorEastAsia" w:hAnsiTheme="minorEastAsia"/>
              </w:rPr>
            </w:pPr>
            <w:r w:rsidRPr="009656D7">
              <w:rPr>
                <w:rFonts w:asciiTheme="minorEastAsia" w:hAnsiTheme="minorEastAsia"/>
              </w:rPr>
              <w:t>月別来訪者数の</w:t>
            </w:r>
          </w:p>
          <w:p w14:paraId="66C46D53" w14:textId="77777777" w:rsidR="00872116" w:rsidRPr="009656D7" w:rsidRDefault="00872116" w:rsidP="007C1734">
            <w:pPr>
              <w:spacing w:line="240" w:lineRule="exact"/>
              <w:ind w:leftChars="-77" w:left="-162" w:rightChars="-79" w:right="-166"/>
              <w:jc w:val="center"/>
              <w:rPr>
                <w:rFonts w:asciiTheme="minorEastAsia" w:hAnsiTheme="minorEastAsia"/>
              </w:rPr>
            </w:pPr>
            <w:r w:rsidRPr="009656D7">
              <w:rPr>
                <w:rFonts w:asciiTheme="minorEastAsia" w:hAnsiTheme="minorEastAsia"/>
              </w:rPr>
              <w:t>平準化率</w:t>
            </w:r>
          </w:p>
        </w:tc>
        <w:tc>
          <w:tcPr>
            <w:tcW w:w="5783" w:type="dxa"/>
            <w:tcBorders>
              <w:top w:val="nil"/>
              <w:left w:val="nil"/>
              <w:bottom w:val="single" w:sz="4" w:space="0" w:color="7F7F7F" w:themeColor="text1" w:themeTint="80"/>
              <w:right w:val="nil"/>
            </w:tcBorders>
            <w:tcMar>
              <w:top w:w="15" w:type="dxa"/>
              <w:left w:w="166" w:type="dxa"/>
              <w:bottom w:w="0" w:type="dxa"/>
              <w:right w:w="166" w:type="dxa"/>
            </w:tcMar>
            <w:vAlign w:val="center"/>
          </w:tcPr>
          <w:p w14:paraId="18A2EBFC" w14:textId="77777777" w:rsidR="00872116" w:rsidRPr="009656D7" w:rsidRDefault="00872116" w:rsidP="007C1734">
            <w:pPr>
              <w:spacing w:beforeLines="20" w:before="72" w:afterLines="20" w:after="72" w:line="240" w:lineRule="exact"/>
              <w:rPr>
                <w:rFonts w:asciiTheme="minorEastAsia" w:hAnsiTheme="minorEastAsia"/>
              </w:rPr>
            </w:pPr>
            <w:r w:rsidRPr="009656D7">
              <w:rPr>
                <w:rFonts w:asciiTheme="minorEastAsia" w:hAnsiTheme="minorEastAsia"/>
              </w:rPr>
              <w:t>閑散期の来訪者を獲得することで旅行消費額を拡大させること、また観光の経済面での安定（売上・雇用等）を実現するため、人流データ等の指標を活用しながら算出する。</w:t>
            </w:r>
          </w:p>
        </w:tc>
      </w:tr>
      <w:tr w:rsidR="00872116" w:rsidRPr="0013558A" w14:paraId="016DFEEE" w14:textId="77777777" w:rsidTr="007C1734">
        <w:trPr>
          <w:trHeight w:val="162"/>
          <w:jc w:val="center"/>
        </w:trPr>
        <w:tc>
          <w:tcPr>
            <w:tcW w:w="2116" w:type="dxa"/>
            <w:tcBorders>
              <w:top w:val="single" w:sz="4" w:space="0" w:color="7F7F7F" w:themeColor="text1" w:themeTint="80"/>
              <w:left w:val="nil"/>
              <w:bottom w:val="single" w:sz="4" w:space="0" w:color="7F7F7F" w:themeColor="text1" w:themeTint="80"/>
              <w:right w:val="nil"/>
            </w:tcBorders>
            <w:tcMar>
              <w:top w:w="15" w:type="dxa"/>
              <w:left w:w="166" w:type="dxa"/>
              <w:bottom w:w="0" w:type="dxa"/>
              <w:right w:w="166" w:type="dxa"/>
            </w:tcMar>
            <w:vAlign w:val="center"/>
            <w:hideMark/>
          </w:tcPr>
          <w:p w14:paraId="71D1EF2E" w14:textId="77777777" w:rsidR="00872116" w:rsidRDefault="00872116" w:rsidP="007C1734">
            <w:pPr>
              <w:spacing w:line="240" w:lineRule="exact"/>
              <w:ind w:leftChars="-77" w:left="-162" w:rightChars="-79" w:right="-166"/>
              <w:jc w:val="center"/>
              <w:rPr>
                <w:rFonts w:asciiTheme="minorEastAsia" w:hAnsiTheme="minorEastAsia"/>
              </w:rPr>
            </w:pPr>
            <w:r w:rsidRPr="009656D7">
              <w:rPr>
                <w:rFonts w:asciiTheme="minorEastAsia" w:hAnsiTheme="minorEastAsia" w:hint="eastAsia"/>
              </w:rPr>
              <w:t>観光事業者の</w:t>
            </w:r>
          </w:p>
          <w:p w14:paraId="1DD1B2E5" w14:textId="77777777" w:rsidR="00872116" w:rsidRPr="009656D7" w:rsidRDefault="00872116" w:rsidP="007C1734">
            <w:pPr>
              <w:spacing w:line="240" w:lineRule="exact"/>
              <w:ind w:leftChars="-77" w:left="-162" w:rightChars="-79" w:right="-166"/>
              <w:jc w:val="center"/>
              <w:rPr>
                <w:rFonts w:asciiTheme="minorEastAsia" w:hAnsiTheme="minorEastAsia"/>
              </w:rPr>
            </w:pPr>
            <w:r w:rsidRPr="009656D7">
              <w:rPr>
                <w:rFonts w:asciiTheme="minorEastAsia" w:hAnsiTheme="minorEastAsia" w:hint="eastAsia"/>
              </w:rPr>
              <w:t>平均給与額</w:t>
            </w:r>
          </w:p>
        </w:tc>
        <w:tc>
          <w:tcPr>
            <w:tcW w:w="5783" w:type="dxa"/>
            <w:tcBorders>
              <w:top w:val="single" w:sz="4" w:space="0" w:color="7F7F7F" w:themeColor="text1" w:themeTint="80"/>
              <w:left w:val="nil"/>
              <w:bottom w:val="single" w:sz="4" w:space="0" w:color="7F7F7F" w:themeColor="text1" w:themeTint="80"/>
              <w:right w:val="nil"/>
            </w:tcBorders>
            <w:tcMar>
              <w:top w:w="15" w:type="dxa"/>
              <w:left w:w="166" w:type="dxa"/>
              <w:bottom w:w="0" w:type="dxa"/>
              <w:right w:w="166" w:type="dxa"/>
            </w:tcMar>
            <w:vAlign w:val="center"/>
            <w:hideMark/>
          </w:tcPr>
          <w:p w14:paraId="10C8C659" w14:textId="77777777" w:rsidR="00872116" w:rsidRPr="009656D7" w:rsidRDefault="00872116" w:rsidP="007C1734">
            <w:pPr>
              <w:spacing w:beforeLines="20" w:before="72" w:afterLines="20" w:after="72" w:line="240" w:lineRule="exact"/>
              <w:rPr>
                <w:rFonts w:asciiTheme="minorEastAsia" w:hAnsiTheme="minorEastAsia"/>
              </w:rPr>
            </w:pPr>
            <w:r w:rsidRPr="009656D7">
              <w:rPr>
                <w:rFonts w:asciiTheme="minorEastAsia" w:hAnsiTheme="minorEastAsia" w:hint="eastAsia"/>
              </w:rPr>
              <w:t>観光従事者の平均給与は、雇用形態を含め、観光の経済面での地域への持続可能な貢献の実現、さらに、これによって経済波及効果を持続的に拡大させる指標として計測する。観光事業者や従事者に対する直接的なアンケート調査のほか、ネットリサーチ等の活用を検討して算出する。</w:t>
            </w:r>
          </w:p>
        </w:tc>
      </w:tr>
      <w:tr w:rsidR="00872116" w:rsidRPr="0013558A" w14:paraId="4A9A7FE8" w14:textId="77777777" w:rsidTr="007C1734">
        <w:trPr>
          <w:trHeight w:val="155"/>
          <w:jc w:val="center"/>
        </w:trPr>
        <w:tc>
          <w:tcPr>
            <w:tcW w:w="2116" w:type="dxa"/>
            <w:tcBorders>
              <w:top w:val="single" w:sz="4" w:space="0" w:color="7F7F7F" w:themeColor="text1" w:themeTint="80"/>
              <w:left w:val="nil"/>
              <w:bottom w:val="single" w:sz="4" w:space="0" w:color="7F7F7F" w:themeColor="text1" w:themeTint="80"/>
              <w:right w:val="nil"/>
            </w:tcBorders>
            <w:tcMar>
              <w:top w:w="15" w:type="dxa"/>
              <w:left w:w="166" w:type="dxa"/>
              <w:bottom w:w="0" w:type="dxa"/>
              <w:right w:w="166" w:type="dxa"/>
            </w:tcMar>
            <w:vAlign w:val="center"/>
          </w:tcPr>
          <w:p w14:paraId="73D9A595" w14:textId="77777777" w:rsidR="00872116" w:rsidRDefault="00872116" w:rsidP="007C1734">
            <w:pPr>
              <w:spacing w:line="240" w:lineRule="exact"/>
              <w:ind w:leftChars="-77" w:left="-162" w:rightChars="-79" w:right="-166"/>
              <w:jc w:val="center"/>
              <w:rPr>
                <w:rFonts w:asciiTheme="minorEastAsia" w:hAnsiTheme="minorEastAsia"/>
              </w:rPr>
            </w:pPr>
            <w:r w:rsidRPr="009656D7">
              <w:rPr>
                <w:rFonts w:asciiTheme="minorEastAsia" w:hAnsiTheme="minorEastAsia"/>
              </w:rPr>
              <w:t>持続可能な観光に</w:t>
            </w:r>
          </w:p>
          <w:p w14:paraId="7FB23D03" w14:textId="77777777" w:rsidR="00872116" w:rsidRPr="009656D7" w:rsidRDefault="00872116" w:rsidP="007C1734">
            <w:pPr>
              <w:spacing w:line="240" w:lineRule="exact"/>
              <w:ind w:leftChars="-77" w:left="-162" w:rightChars="-79" w:right="-166"/>
              <w:jc w:val="center"/>
              <w:rPr>
                <w:rFonts w:asciiTheme="minorEastAsia" w:hAnsiTheme="minorEastAsia"/>
              </w:rPr>
            </w:pPr>
            <w:r w:rsidRPr="009656D7">
              <w:rPr>
                <w:rFonts w:asciiTheme="minorEastAsia" w:hAnsiTheme="minorEastAsia"/>
              </w:rPr>
              <w:t>対する住民満足度</w:t>
            </w:r>
          </w:p>
        </w:tc>
        <w:tc>
          <w:tcPr>
            <w:tcW w:w="5783" w:type="dxa"/>
            <w:tcBorders>
              <w:top w:val="single" w:sz="4" w:space="0" w:color="7F7F7F" w:themeColor="text1" w:themeTint="80"/>
              <w:left w:val="nil"/>
              <w:bottom w:val="single" w:sz="4" w:space="0" w:color="7F7F7F" w:themeColor="text1" w:themeTint="80"/>
              <w:right w:val="nil"/>
            </w:tcBorders>
            <w:tcMar>
              <w:top w:w="15" w:type="dxa"/>
              <w:left w:w="166" w:type="dxa"/>
              <w:bottom w:w="0" w:type="dxa"/>
              <w:right w:w="166" w:type="dxa"/>
            </w:tcMar>
            <w:vAlign w:val="center"/>
          </w:tcPr>
          <w:p w14:paraId="73DB9971" w14:textId="77777777" w:rsidR="00872116" w:rsidRPr="009656D7" w:rsidRDefault="00872116" w:rsidP="007C1734">
            <w:pPr>
              <w:spacing w:beforeLines="20" w:before="72" w:afterLines="20" w:after="72" w:line="240" w:lineRule="exact"/>
              <w:rPr>
                <w:rFonts w:asciiTheme="minorEastAsia" w:hAnsiTheme="minorEastAsia"/>
              </w:rPr>
            </w:pPr>
            <w:r w:rsidRPr="009656D7">
              <w:rPr>
                <w:rFonts w:asciiTheme="minorEastAsia" w:hAnsiTheme="minorEastAsia"/>
              </w:rPr>
              <w:t>持続可能な観光地づくりの要素である、観光と社会面・文化面および環境面でのバランスを実現するための</w:t>
            </w:r>
            <w:r w:rsidRPr="009656D7">
              <w:rPr>
                <w:rFonts w:asciiTheme="minorEastAsia" w:hAnsiTheme="minorEastAsia"/>
              </w:rPr>
              <w:t>KPI</w:t>
            </w:r>
            <w:r w:rsidRPr="009656D7">
              <w:rPr>
                <w:rFonts w:asciiTheme="minorEastAsia" w:hAnsiTheme="minorEastAsia"/>
              </w:rPr>
              <w:t>として計測する。地域住民に対する直接的なアンケート調査のほか、ネットリサーチ等の活用を検討して算出する。</w:t>
            </w:r>
          </w:p>
        </w:tc>
      </w:tr>
      <w:tr w:rsidR="00872116" w:rsidRPr="0013558A" w14:paraId="3F13D700" w14:textId="77777777" w:rsidTr="007C1734">
        <w:trPr>
          <w:trHeight w:val="155"/>
          <w:jc w:val="center"/>
        </w:trPr>
        <w:tc>
          <w:tcPr>
            <w:tcW w:w="2116" w:type="dxa"/>
            <w:tcBorders>
              <w:top w:val="single" w:sz="4" w:space="0" w:color="7F7F7F" w:themeColor="text1" w:themeTint="80"/>
              <w:left w:val="nil"/>
              <w:bottom w:val="single" w:sz="4" w:space="0" w:color="7F7F7F" w:themeColor="text1" w:themeTint="80"/>
              <w:right w:val="nil"/>
            </w:tcBorders>
            <w:tcMar>
              <w:top w:w="15" w:type="dxa"/>
              <w:left w:w="166" w:type="dxa"/>
              <w:bottom w:w="0" w:type="dxa"/>
              <w:right w:w="166" w:type="dxa"/>
            </w:tcMar>
            <w:vAlign w:val="center"/>
          </w:tcPr>
          <w:p w14:paraId="2429CADD" w14:textId="77777777" w:rsidR="00872116" w:rsidRPr="009656D7" w:rsidRDefault="00872116" w:rsidP="007C1734">
            <w:pPr>
              <w:spacing w:line="240" w:lineRule="exact"/>
              <w:ind w:leftChars="-77" w:left="-162" w:rightChars="-79" w:right="-166"/>
              <w:jc w:val="center"/>
              <w:rPr>
                <w:rFonts w:asciiTheme="minorEastAsia" w:hAnsiTheme="minorEastAsia"/>
              </w:rPr>
            </w:pPr>
            <w:r w:rsidRPr="009656D7">
              <w:rPr>
                <w:rFonts w:asciiTheme="minorEastAsia" w:hAnsiTheme="minorEastAsia"/>
              </w:rPr>
              <w:t>その他</w:t>
            </w:r>
          </w:p>
        </w:tc>
        <w:tc>
          <w:tcPr>
            <w:tcW w:w="5783" w:type="dxa"/>
            <w:tcBorders>
              <w:top w:val="single" w:sz="4" w:space="0" w:color="7F7F7F" w:themeColor="text1" w:themeTint="80"/>
              <w:left w:val="nil"/>
              <w:bottom w:val="single" w:sz="4" w:space="0" w:color="7F7F7F" w:themeColor="text1" w:themeTint="80"/>
              <w:right w:val="nil"/>
            </w:tcBorders>
            <w:tcMar>
              <w:top w:w="15" w:type="dxa"/>
              <w:left w:w="166" w:type="dxa"/>
              <w:bottom w:w="0" w:type="dxa"/>
              <w:right w:w="166" w:type="dxa"/>
            </w:tcMar>
            <w:vAlign w:val="center"/>
          </w:tcPr>
          <w:p w14:paraId="7258431E" w14:textId="77777777" w:rsidR="00872116" w:rsidRPr="009656D7" w:rsidRDefault="00872116" w:rsidP="007C1734">
            <w:pPr>
              <w:spacing w:beforeLines="20" w:before="72" w:afterLines="20" w:after="72" w:line="240" w:lineRule="exact"/>
              <w:rPr>
                <w:rFonts w:asciiTheme="minorEastAsia" w:hAnsiTheme="minorEastAsia"/>
              </w:rPr>
            </w:pPr>
            <w:r>
              <w:rPr>
                <w:rFonts w:asciiTheme="minorEastAsia" w:hAnsiTheme="minorEastAsia" w:hint="eastAsia"/>
              </w:rPr>
              <w:t>当財団</w:t>
            </w:r>
            <w:r w:rsidRPr="009656D7">
              <w:rPr>
                <w:rFonts w:asciiTheme="minorEastAsia" w:hAnsiTheme="minorEastAsia" w:hint="eastAsia"/>
              </w:rPr>
              <w:t>が定める</w:t>
            </w:r>
            <w:r w:rsidRPr="009656D7">
              <w:rPr>
                <w:rFonts w:asciiTheme="minorEastAsia" w:hAnsiTheme="minorEastAsia"/>
              </w:rPr>
              <w:t>観光地経営戦略「</w:t>
            </w:r>
            <w:r w:rsidRPr="009656D7">
              <w:rPr>
                <w:rFonts w:asciiTheme="minorEastAsia" w:hAnsiTheme="minorEastAsia"/>
              </w:rPr>
              <w:t>Suruga Strategy 2030</w:t>
            </w:r>
            <w:r w:rsidRPr="009656D7">
              <w:rPr>
                <w:rFonts w:asciiTheme="minorEastAsia" w:hAnsiTheme="minorEastAsia"/>
              </w:rPr>
              <w:t>」を基に、特に</w:t>
            </w:r>
            <w:r>
              <w:rPr>
                <w:rFonts w:asciiTheme="minorEastAsia" w:hAnsiTheme="minorEastAsia" w:hint="eastAsia"/>
              </w:rPr>
              <w:t>ＤＭＯ</w:t>
            </w:r>
            <w:r w:rsidRPr="009656D7">
              <w:rPr>
                <w:rFonts w:asciiTheme="minorEastAsia" w:hAnsiTheme="minorEastAsia"/>
              </w:rPr>
              <w:t>の活動成果指標として優位な指標を選定し測定する。</w:t>
            </w:r>
          </w:p>
        </w:tc>
      </w:tr>
    </w:tbl>
    <w:p w14:paraId="772BF3A3" w14:textId="77777777" w:rsidR="00872116" w:rsidRPr="005D7312" w:rsidRDefault="00872116" w:rsidP="00872116">
      <w:pPr>
        <w:autoSpaceDE w:val="0"/>
        <w:autoSpaceDN w:val="0"/>
        <w:ind w:rightChars="20" w:right="42"/>
        <w:rPr>
          <w:rFonts w:ascii="ＭＳ 明朝" w:hAnsi="ＭＳ 明朝"/>
          <w:szCs w:val="21"/>
        </w:rPr>
      </w:pPr>
    </w:p>
    <w:p w14:paraId="6C2EAFD8" w14:textId="77777777" w:rsidR="00872116" w:rsidRPr="004C1A14" w:rsidRDefault="00872116" w:rsidP="00872116">
      <w:pPr>
        <w:autoSpaceDE w:val="0"/>
        <w:autoSpaceDN w:val="0"/>
        <w:ind w:leftChars="166" w:left="349" w:rightChars="20" w:right="42" w:firstLineChars="101" w:firstLine="212"/>
        <w:rPr>
          <w:rFonts w:ascii="ＭＳ 明朝" w:hAnsi="ＭＳ 明朝"/>
          <w:szCs w:val="21"/>
        </w:rPr>
      </w:pPr>
      <w:r>
        <w:rPr>
          <w:rFonts w:ascii="ＭＳ 明朝" w:hAnsi="ＭＳ 明朝" w:hint="eastAsia"/>
          <w:szCs w:val="21"/>
        </w:rPr>
        <w:t>上記①②で実施した内容は、毎月簡易な報告書（議事録等）にまとめ、翌月までに電子データにより提出する。</w:t>
      </w:r>
    </w:p>
    <w:p w14:paraId="561CE695" w14:textId="77777777" w:rsidR="00872116" w:rsidRDefault="00872116" w:rsidP="00872116">
      <w:pPr>
        <w:rPr>
          <w:rFonts w:ascii="ＭＳ 明朝" w:hAnsi="ＭＳ 明朝"/>
          <w:szCs w:val="21"/>
        </w:rPr>
      </w:pPr>
      <w:r>
        <w:rPr>
          <w:rFonts w:ascii="ＭＳ 明朝" w:hAnsi="ＭＳ 明朝"/>
          <w:szCs w:val="21"/>
        </w:rPr>
        <w:br w:type="page"/>
      </w:r>
    </w:p>
    <w:p w14:paraId="2DC6B85F" w14:textId="77777777" w:rsidR="00872116" w:rsidRDefault="00872116" w:rsidP="00872116">
      <w:pPr>
        <w:tabs>
          <w:tab w:val="left" w:pos="6193"/>
        </w:tabs>
        <w:autoSpaceDE w:val="0"/>
        <w:autoSpaceDN w:val="0"/>
        <w:ind w:rightChars="20" w:right="42"/>
        <w:rPr>
          <w:rFonts w:ascii="ＭＳ ゴシック" w:eastAsia="ＭＳ ゴシック" w:hAnsi="ＭＳ ゴシック"/>
          <w:szCs w:val="21"/>
        </w:rPr>
      </w:pPr>
      <w:r w:rsidRPr="00245990">
        <w:rPr>
          <w:rFonts w:ascii="ＭＳ ゴシック" w:eastAsia="ＭＳ ゴシック" w:hAnsi="ＭＳ ゴシック" w:hint="eastAsia"/>
          <w:szCs w:val="21"/>
        </w:rPr>
        <w:lastRenderedPageBreak/>
        <w:t>（</w:t>
      </w:r>
      <w:r>
        <w:rPr>
          <w:rFonts w:ascii="ＭＳ ゴシック" w:eastAsia="ＭＳ ゴシック" w:hAnsi="ＭＳ ゴシック" w:hint="eastAsia"/>
          <w:szCs w:val="21"/>
        </w:rPr>
        <w:t>２</w:t>
      </w:r>
      <w:r w:rsidRPr="00245990">
        <w:rPr>
          <w:rFonts w:ascii="ＭＳ ゴシック" w:eastAsia="ＭＳ ゴシック" w:hAnsi="ＭＳ ゴシック" w:hint="eastAsia"/>
          <w:szCs w:val="21"/>
        </w:rPr>
        <w:t>）</w:t>
      </w:r>
      <w:r>
        <w:rPr>
          <w:rFonts w:ascii="ＭＳ ゴシック" w:eastAsia="ＭＳ ゴシック" w:hAnsi="ＭＳ ゴシック" w:hint="eastAsia"/>
          <w:szCs w:val="21"/>
        </w:rPr>
        <w:t>「地域事業者および行政のマーケティング支援の強化」に対する支援</w:t>
      </w:r>
    </w:p>
    <w:p w14:paraId="3B9BF0F9" w14:textId="77777777" w:rsidR="00872116" w:rsidRDefault="00872116" w:rsidP="00872116">
      <w:pPr>
        <w:autoSpaceDE w:val="0"/>
        <w:autoSpaceDN w:val="0"/>
        <w:ind w:leftChars="166" w:left="349" w:rightChars="20" w:right="42" w:firstLineChars="101" w:firstLine="212"/>
        <w:rPr>
          <w:rFonts w:ascii="ＭＳ 明朝" w:hAnsi="ＭＳ 明朝"/>
          <w:szCs w:val="21"/>
        </w:rPr>
      </w:pPr>
      <w:r>
        <w:rPr>
          <w:rFonts w:ascii="ＭＳ 明朝" w:hAnsi="ＭＳ 明朝" w:hint="eastAsia"/>
          <w:szCs w:val="21"/>
        </w:rPr>
        <w:t>当財団が行政および事業者に対して実施するデータを用いたマーケティング支援を強化するための助言を行う。</w:t>
      </w:r>
    </w:p>
    <w:p w14:paraId="68785FD7" w14:textId="77777777" w:rsidR="00872116" w:rsidRDefault="00872116" w:rsidP="00872116">
      <w:pPr>
        <w:autoSpaceDE w:val="0"/>
        <w:autoSpaceDN w:val="0"/>
        <w:ind w:leftChars="166" w:left="349" w:rightChars="20" w:right="42" w:firstLineChars="101" w:firstLine="212"/>
        <w:rPr>
          <w:rFonts w:ascii="ＭＳ 明朝" w:hAnsi="ＭＳ 明朝"/>
          <w:szCs w:val="21"/>
        </w:rPr>
      </w:pPr>
    </w:p>
    <w:p w14:paraId="6D019DB5" w14:textId="77777777" w:rsidR="00872116" w:rsidRDefault="00872116" w:rsidP="00872116">
      <w:pPr>
        <w:pStyle w:val="af"/>
        <w:numPr>
          <w:ilvl w:val="0"/>
          <w:numId w:val="3"/>
        </w:numPr>
        <w:autoSpaceDE w:val="0"/>
        <w:autoSpaceDN w:val="0"/>
        <w:ind w:leftChars="0" w:rightChars="20" w:right="42"/>
        <w:rPr>
          <w:rFonts w:ascii="ＭＳ 明朝" w:eastAsia="ＭＳ 明朝" w:hAnsi="ＭＳ 明朝"/>
          <w:szCs w:val="21"/>
        </w:rPr>
      </w:pPr>
      <w:r w:rsidRPr="00FF2387">
        <w:rPr>
          <w:rFonts w:ascii="ＭＳ 明朝" w:eastAsia="ＭＳ 明朝" w:hAnsi="ＭＳ 明朝" w:hint="eastAsia"/>
          <w:szCs w:val="21"/>
        </w:rPr>
        <w:t>地域事業者および行政のマーケティング支援にむけたプラットフォーム構築に対する助言</w:t>
      </w:r>
    </w:p>
    <w:p w14:paraId="720C2A74" w14:textId="77777777" w:rsidR="00872116" w:rsidRDefault="00872116" w:rsidP="00872116">
      <w:pPr>
        <w:autoSpaceDE w:val="0"/>
        <w:autoSpaceDN w:val="0"/>
        <w:ind w:left="349" w:rightChars="20" w:right="42" w:firstLineChars="50" w:firstLine="105"/>
        <w:rPr>
          <w:rFonts w:ascii="ＭＳ 明朝" w:hAnsi="ＭＳ 明朝"/>
          <w:szCs w:val="21"/>
        </w:rPr>
      </w:pPr>
      <w:r>
        <w:rPr>
          <w:rFonts w:ascii="ＭＳ 明朝" w:hAnsi="ＭＳ 明朝" w:hint="eastAsia"/>
          <w:szCs w:val="21"/>
        </w:rPr>
        <w:t>事業者および行政が、当財団にデータを用いたマーケティング支援（調査、データ分析およびマーケティングその他の支援）を依頼する際のハードルを下げるための提案を行い、その件数を効率的に増加させるための助言を行う。</w:t>
      </w:r>
    </w:p>
    <w:p w14:paraId="57C58E2A" w14:textId="77777777" w:rsidR="00872116" w:rsidRDefault="00872116" w:rsidP="00872116">
      <w:pPr>
        <w:autoSpaceDE w:val="0"/>
        <w:autoSpaceDN w:val="0"/>
        <w:ind w:left="349" w:rightChars="20" w:right="42" w:firstLineChars="50" w:firstLine="105"/>
        <w:rPr>
          <w:rFonts w:ascii="ＭＳ 明朝" w:hAnsi="ＭＳ 明朝"/>
          <w:szCs w:val="21"/>
        </w:rPr>
      </w:pPr>
    </w:p>
    <w:p w14:paraId="50EBBBFF" w14:textId="77777777" w:rsidR="00872116" w:rsidRDefault="00872116" w:rsidP="00872116">
      <w:pPr>
        <w:pStyle w:val="af"/>
        <w:numPr>
          <w:ilvl w:val="0"/>
          <w:numId w:val="3"/>
        </w:numPr>
        <w:autoSpaceDE w:val="0"/>
        <w:autoSpaceDN w:val="0"/>
        <w:ind w:leftChars="0" w:rightChars="20" w:right="42"/>
        <w:rPr>
          <w:rFonts w:ascii="ＭＳ 明朝" w:eastAsia="ＭＳ 明朝" w:hAnsi="ＭＳ 明朝"/>
          <w:szCs w:val="21"/>
        </w:rPr>
      </w:pPr>
      <w:r w:rsidRPr="00FF2387">
        <w:rPr>
          <w:rFonts w:ascii="ＭＳ 明朝" w:eastAsia="ＭＳ 明朝" w:hAnsi="ＭＳ 明朝" w:hint="eastAsia"/>
          <w:szCs w:val="21"/>
        </w:rPr>
        <w:t>地域事業者および行政のマーケティング支援の内容に対する助言</w:t>
      </w:r>
    </w:p>
    <w:p w14:paraId="7E97FE33" w14:textId="77777777" w:rsidR="00872116" w:rsidRDefault="00872116" w:rsidP="00872116">
      <w:pPr>
        <w:autoSpaceDE w:val="0"/>
        <w:autoSpaceDN w:val="0"/>
        <w:ind w:left="349" w:rightChars="20" w:right="42" w:firstLineChars="50" w:firstLine="105"/>
        <w:rPr>
          <w:rFonts w:ascii="ＭＳ 明朝" w:hAnsi="ＭＳ 明朝"/>
          <w:szCs w:val="21"/>
        </w:rPr>
      </w:pPr>
      <w:r>
        <w:rPr>
          <w:rFonts w:ascii="ＭＳ 明朝" w:hAnsi="ＭＳ 明朝" w:hint="eastAsia"/>
          <w:szCs w:val="21"/>
        </w:rPr>
        <w:t>当財団が事業者および行政から依頼を受けた案件に対し</w:t>
      </w:r>
      <w:r>
        <w:rPr>
          <w:rFonts w:ascii="ＭＳ 明朝" w:hAnsi="ＭＳ 明朝"/>
          <w:szCs w:val="21"/>
        </w:rPr>
        <w:t>て</w:t>
      </w:r>
      <w:r>
        <w:rPr>
          <w:rFonts w:ascii="ＭＳ 明朝" w:hAnsi="ＭＳ 明朝" w:hint="eastAsia"/>
          <w:szCs w:val="21"/>
        </w:rPr>
        <w:t>、実施したデータ分析および提案内容に対して助言を行う。</w:t>
      </w:r>
    </w:p>
    <w:p w14:paraId="27FFDF31" w14:textId="77777777" w:rsidR="00872116" w:rsidRDefault="00872116" w:rsidP="00872116">
      <w:pPr>
        <w:autoSpaceDE w:val="0"/>
        <w:autoSpaceDN w:val="0"/>
        <w:ind w:rightChars="20" w:right="42"/>
        <w:rPr>
          <w:rFonts w:ascii="ＭＳ 明朝" w:hAnsi="ＭＳ 明朝"/>
          <w:szCs w:val="21"/>
        </w:rPr>
      </w:pPr>
    </w:p>
    <w:p w14:paraId="1E222D99" w14:textId="77777777" w:rsidR="00872116" w:rsidRPr="004C1A14" w:rsidRDefault="00872116" w:rsidP="00872116">
      <w:pPr>
        <w:autoSpaceDE w:val="0"/>
        <w:autoSpaceDN w:val="0"/>
        <w:ind w:leftChars="166" w:left="349" w:rightChars="20" w:right="42" w:firstLineChars="101" w:firstLine="212"/>
        <w:rPr>
          <w:rFonts w:ascii="ＭＳ 明朝" w:hAnsi="ＭＳ 明朝"/>
          <w:szCs w:val="21"/>
        </w:rPr>
      </w:pPr>
      <w:r>
        <w:rPr>
          <w:rFonts w:ascii="ＭＳ 明朝" w:hAnsi="ＭＳ 明朝" w:hint="eastAsia"/>
          <w:szCs w:val="21"/>
        </w:rPr>
        <w:t>上記①②で実施した内容は、毎月簡易な報告書（議事録等）にまとめ、翌月までに電子データにより提出する。</w:t>
      </w:r>
    </w:p>
    <w:p w14:paraId="203C1569" w14:textId="77777777" w:rsidR="00872116" w:rsidRDefault="00872116" w:rsidP="00872116">
      <w:pPr>
        <w:autoSpaceDE w:val="0"/>
        <w:autoSpaceDN w:val="0"/>
        <w:ind w:rightChars="20" w:right="42"/>
        <w:rPr>
          <w:rFonts w:ascii="ＭＳ 明朝" w:hAnsi="ＭＳ 明朝"/>
          <w:szCs w:val="21"/>
        </w:rPr>
      </w:pPr>
    </w:p>
    <w:p w14:paraId="3C0E13EB" w14:textId="77777777" w:rsidR="00872116" w:rsidRDefault="00872116" w:rsidP="00872116">
      <w:pPr>
        <w:tabs>
          <w:tab w:val="left" w:pos="6193"/>
        </w:tabs>
        <w:autoSpaceDE w:val="0"/>
        <w:autoSpaceDN w:val="0"/>
        <w:ind w:rightChars="20" w:right="42"/>
        <w:rPr>
          <w:rFonts w:ascii="ＭＳ ゴシック" w:eastAsia="ＭＳ ゴシック" w:hAnsi="ＭＳ ゴシック"/>
          <w:szCs w:val="21"/>
        </w:rPr>
      </w:pPr>
      <w:r w:rsidRPr="00245990">
        <w:rPr>
          <w:rFonts w:ascii="ＭＳ ゴシック" w:eastAsia="ＭＳ ゴシック" w:hAnsi="ＭＳ ゴシック" w:hint="eastAsia"/>
          <w:szCs w:val="21"/>
        </w:rPr>
        <w:t>（</w:t>
      </w:r>
      <w:r>
        <w:rPr>
          <w:rFonts w:ascii="ＭＳ ゴシック" w:eastAsia="ＭＳ ゴシック" w:hAnsi="ＭＳ ゴシック" w:hint="eastAsia"/>
          <w:szCs w:val="21"/>
        </w:rPr>
        <w:t>３</w:t>
      </w:r>
      <w:r w:rsidRPr="00245990">
        <w:rPr>
          <w:rFonts w:ascii="ＭＳ ゴシック" w:eastAsia="ＭＳ ゴシック" w:hAnsi="ＭＳ ゴシック" w:hint="eastAsia"/>
          <w:szCs w:val="21"/>
        </w:rPr>
        <w:t>）</w:t>
      </w:r>
      <w:r>
        <w:rPr>
          <w:rFonts w:ascii="ＭＳ ゴシック" w:eastAsia="ＭＳ ゴシック" w:hAnsi="ＭＳ ゴシック" w:hint="eastAsia"/>
          <w:szCs w:val="21"/>
        </w:rPr>
        <w:t>調査データを活用したレポーティング</w:t>
      </w:r>
    </w:p>
    <w:p w14:paraId="031EEFBF" w14:textId="77777777" w:rsidR="00872116" w:rsidRDefault="00872116" w:rsidP="00872116">
      <w:pPr>
        <w:autoSpaceDE w:val="0"/>
        <w:autoSpaceDN w:val="0"/>
        <w:ind w:leftChars="166" w:left="349" w:rightChars="20" w:right="42" w:firstLineChars="101" w:firstLine="212"/>
        <w:rPr>
          <w:rFonts w:ascii="ＭＳ 明朝" w:hAnsi="ＭＳ 明朝"/>
          <w:szCs w:val="21"/>
        </w:rPr>
      </w:pPr>
      <w:r>
        <w:rPr>
          <w:rFonts w:ascii="ＭＳ 明朝" w:hAnsi="ＭＳ 明朝" w:hint="eastAsia"/>
          <w:szCs w:val="21"/>
        </w:rPr>
        <w:t>来訪者調査など当財団が提供するデータを基に所定のフォーマットによりレポートを作成する。</w:t>
      </w:r>
    </w:p>
    <w:p w14:paraId="54E02FE7" w14:textId="77777777" w:rsidR="00872116" w:rsidRDefault="00872116" w:rsidP="00872116">
      <w:pPr>
        <w:autoSpaceDE w:val="0"/>
        <w:autoSpaceDN w:val="0"/>
        <w:ind w:leftChars="166" w:left="349" w:rightChars="20" w:right="42" w:firstLineChars="101" w:firstLine="212"/>
        <w:rPr>
          <w:rFonts w:ascii="ＭＳ 明朝" w:hAnsi="ＭＳ 明朝"/>
          <w:szCs w:val="21"/>
        </w:rPr>
      </w:pPr>
    </w:p>
    <w:p w14:paraId="379A8FA1" w14:textId="77777777" w:rsidR="00872116" w:rsidRDefault="00872116" w:rsidP="00872116">
      <w:pPr>
        <w:pStyle w:val="af"/>
        <w:numPr>
          <w:ilvl w:val="0"/>
          <w:numId w:val="4"/>
        </w:numPr>
        <w:autoSpaceDE w:val="0"/>
        <w:autoSpaceDN w:val="0"/>
        <w:ind w:leftChars="0" w:rightChars="20" w:right="42"/>
        <w:rPr>
          <w:rFonts w:ascii="ＭＳ 明朝" w:eastAsia="ＭＳ 明朝" w:hAnsi="ＭＳ 明朝"/>
          <w:szCs w:val="21"/>
        </w:rPr>
      </w:pPr>
      <w:r>
        <w:rPr>
          <w:rFonts w:ascii="ＭＳ 明朝" w:eastAsia="ＭＳ 明朝" w:hAnsi="ＭＳ 明朝" w:hint="eastAsia"/>
          <w:szCs w:val="21"/>
        </w:rPr>
        <w:t>するが観光ダイジェスト</w:t>
      </w:r>
    </w:p>
    <w:p w14:paraId="6AAE1462" w14:textId="4E28CC10" w:rsidR="00872116" w:rsidRDefault="00872116" w:rsidP="00872116">
      <w:pPr>
        <w:autoSpaceDE w:val="0"/>
        <w:autoSpaceDN w:val="0"/>
        <w:ind w:leftChars="166" w:left="349" w:rightChars="20" w:right="42" w:firstLineChars="101" w:firstLine="212"/>
        <w:rPr>
          <w:rFonts w:ascii="ＭＳ 明朝" w:hAnsi="ＭＳ 明朝"/>
          <w:szCs w:val="21"/>
        </w:rPr>
      </w:pPr>
      <w:r>
        <w:rPr>
          <w:rFonts w:ascii="ＭＳ 明朝" w:hAnsi="ＭＳ 明朝" w:hint="eastAsia"/>
          <w:szCs w:val="21"/>
        </w:rPr>
        <w:t>令和７年より発行を開始した「するが観光ダイジェスト」について、指定するフォーマット（Ａ４横４枚程度）に沿って、毎月レポートを作成する。想定するスケジュールは以下の通りである。また必要により、掲載内容やフォーマットの改定に対する提案を行う。</w:t>
      </w:r>
    </w:p>
    <w:p w14:paraId="3350DB01" w14:textId="77777777" w:rsidR="00872116" w:rsidRPr="009656D7" w:rsidRDefault="00872116" w:rsidP="00872116">
      <w:pPr>
        <w:pStyle w:val="af"/>
        <w:numPr>
          <w:ilvl w:val="0"/>
          <w:numId w:val="5"/>
        </w:numPr>
        <w:autoSpaceDE w:val="0"/>
        <w:autoSpaceDN w:val="0"/>
        <w:ind w:leftChars="0" w:rightChars="20" w:right="42"/>
        <w:rPr>
          <w:rFonts w:ascii="ＭＳ 明朝" w:eastAsia="ＭＳ 明朝" w:hAnsi="ＭＳ 明朝"/>
          <w:szCs w:val="21"/>
        </w:rPr>
      </w:pPr>
      <w:r>
        <w:rPr>
          <w:rFonts w:ascii="ＭＳ 明朝" w:eastAsia="ＭＳ 明朝" w:hAnsi="ＭＳ 明朝" w:hint="eastAsia"/>
          <w:szCs w:val="21"/>
        </w:rPr>
        <w:t>当財団</w:t>
      </w:r>
      <w:r w:rsidRPr="009656D7">
        <w:rPr>
          <w:rFonts w:ascii="ＭＳ 明朝" w:eastAsia="ＭＳ 明朝" w:hAnsi="ＭＳ 明朝" w:hint="eastAsia"/>
          <w:szCs w:val="21"/>
        </w:rPr>
        <w:t>からのデータ提供（毎月</w:t>
      </w:r>
      <w:r w:rsidRPr="009656D7">
        <w:rPr>
          <w:rFonts w:ascii="ＭＳ 明朝" w:eastAsia="ＭＳ 明朝" w:hAnsi="ＭＳ 明朝"/>
          <w:szCs w:val="21"/>
        </w:rPr>
        <w:t>15</w:t>
      </w:r>
      <w:r w:rsidRPr="009656D7">
        <w:rPr>
          <w:rFonts w:ascii="ＭＳ 明朝" w:eastAsia="ＭＳ 明朝" w:hAnsi="ＭＳ 明朝" w:hint="eastAsia"/>
          <w:szCs w:val="21"/>
        </w:rPr>
        <w:t>日頃）</w:t>
      </w:r>
    </w:p>
    <w:p w14:paraId="3FEE8251" w14:textId="77777777" w:rsidR="00872116" w:rsidRDefault="00872116" w:rsidP="00872116">
      <w:pPr>
        <w:pStyle w:val="af"/>
        <w:numPr>
          <w:ilvl w:val="0"/>
          <w:numId w:val="5"/>
        </w:numPr>
        <w:autoSpaceDE w:val="0"/>
        <w:autoSpaceDN w:val="0"/>
        <w:ind w:leftChars="0" w:rightChars="20" w:right="42"/>
        <w:rPr>
          <w:rFonts w:ascii="ＭＳ 明朝" w:eastAsia="ＭＳ 明朝" w:hAnsi="ＭＳ 明朝"/>
          <w:szCs w:val="21"/>
        </w:rPr>
      </w:pPr>
      <w:r>
        <w:rPr>
          <w:rFonts w:ascii="ＭＳ 明朝" w:eastAsia="ＭＳ 明朝" w:hAnsi="ＭＳ 明朝" w:hint="eastAsia"/>
          <w:szCs w:val="21"/>
        </w:rPr>
        <w:t>当財団への初稿提示</w:t>
      </w:r>
      <w:r w:rsidRPr="00234D21">
        <w:rPr>
          <w:rFonts w:ascii="ＭＳ 明朝" w:eastAsia="ＭＳ 明朝" w:hAnsi="ＭＳ 明朝" w:hint="eastAsia"/>
          <w:szCs w:val="21"/>
        </w:rPr>
        <w:t>（毎月</w:t>
      </w:r>
      <w:r>
        <w:rPr>
          <w:rFonts w:ascii="ＭＳ 明朝" w:eastAsia="ＭＳ 明朝" w:hAnsi="ＭＳ 明朝"/>
          <w:szCs w:val="21"/>
        </w:rPr>
        <w:t>17</w:t>
      </w:r>
      <w:r w:rsidRPr="00234D21">
        <w:rPr>
          <w:rFonts w:ascii="ＭＳ 明朝" w:eastAsia="ＭＳ 明朝" w:hAnsi="ＭＳ 明朝" w:hint="eastAsia"/>
          <w:szCs w:val="21"/>
        </w:rPr>
        <w:t>日頃）</w:t>
      </w:r>
    </w:p>
    <w:p w14:paraId="3C0A25CF" w14:textId="77777777" w:rsidR="00872116" w:rsidRPr="009656D7" w:rsidRDefault="00872116" w:rsidP="00872116">
      <w:pPr>
        <w:pStyle w:val="af"/>
        <w:numPr>
          <w:ilvl w:val="0"/>
          <w:numId w:val="5"/>
        </w:numPr>
        <w:autoSpaceDE w:val="0"/>
        <w:autoSpaceDN w:val="0"/>
        <w:ind w:leftChars="0" w:rightChars="20" w:right="42"/>
        <w:rPr>
          <w:rFonts w:ascii="ＭＳ 明朝" w:eastAsia="ＭＳ 明朝" w:hAnsi="ＭＳ 明朝"/>
          <w:szCs w:val="21"/>
        </w:rPr>
      </w:pPr>
      <w:r>
        <w:rPr>
          <w:rFonts w:ascii="ＭＳ 明朝" w:eastAsia="ＭＳ 明朝" w:hAnsi="ＭＳ 明朝" w:hint="eastAsia"/>
          <w:szCs w:val="21"/>
        </w:rPr>
        <w:t>発行</w:t>
      </w:r>
      <w:r w:rsidRPr="00234D21">
        <w:rPr>
          <w:rFonts w:ascii="ＭＳ 明朝" w:eastAsia="ＭＳ 明朝" w:hAnsi="ＭＳ 明朝" w:hint="eastAsia"/>
          <w:szCs w:val="21"/>
        </w:rPr>
        <w:t>（毎月</w:t>
      </w:r>
      <w:r>
        <w:rPr>
          <w:rFonts w:ascii="ＭＳ 明朝" w:eastAsia="ＭＳ 明朝" w:hAnsi="ＭＳ 明朝"/>
          <w:szCs w:val="21"/>
        </w:rPr>
        <w:t>25</w:t>
      </w:r>
      <w:r w:rsidRPr="00234D21">
        <w:rPr>
          <w:rFonts w:ascii="ＭＳ 明朝" w:eastAsia="ＭＳ 明朝" w:hAnsi="ＭＳ 明朝" w:hint="eastAsia"/>
          <w:szCs w:val="21"/>
        </w:rPr>
        <w:t>日頃）</w:t>
      </w:r>
    </w:p>
    <w:p w14:paraId="6C593B81" w14:textId="77777777" w:rsidR="00872116" w:rsidRDefault="00872116" w:rsidP="00872116">
      <w:pPr>
        <w:autoSpaceDE w:val="0"/>
        <w:autoSpaceDN w:val="0"/>
        <w:ind w:rightChars="20" w:right="42"/>
        <w:rPr>
          <w:rFonts w:ascii="ＭＳ 明朝" w:hAnsi="ＭＳ 明朝"/>
          <w:szCs w:val="21"/>
        </w:rPr>
      </w:pPr>
    </w:p>
    <w:p w14:paraId="364CC4BE" w14:textId="77777777" w:rsidR="00872116" w:rsidRPr="00245990" w:rsidRDefault="00872116" w:rsidP="00872116">
      <w:pPr>
        <w:autoSpaceDE w:val="0"/>
        <w:autoSpaceDN w:val="0"/>
        <w:ind w:rightChars="20" w:right="42"/>
        <w:rPr>
          <w:rFonts w:ascii="ＭＳ ゴシック" w:eastAsia="ＭＳ ゴシック" w:hAnsi="ＭＳ ゴシック" w:cs="MS-Mincho"/>
          <w:kern w:val="0"/>
          <w:szCs w:val="21"/>
        </w:rPr>
      </w:pPr>
      <w:r w:rsidRPr="00245990">
        <w:rPr>
          <w:rFonts w:ascii="ＭＳ ゴシック" w:eastAsia="ＭＳ ゴシック" w:hAnsi="ＭＳ ゴシック" w:cs="MS-Mincho" w:hint="eastAsia"/>
          <w:kern w:val="0"/>
          <w:szCs w:val="21"/>
        </w:rPr>
        <w:t>３．事業期間</w:t>
      </w:r>
    </w:p>
    <w:p w14:paraId="3A2470AF" w14:textId="77777777" w:rsidR="00872116" w:rsidRPr="00245990" w:rsidRDefault="00872116" w:rsidP="00872116">
      <w:pPr>
        <w:autoSpaceDE w:val="0"/>
        <w:autoSpaceDN w:val="0"/>
        <w:ind w:rightChars="20" w:right="42" w:firstLineChars="200" w:firstLine="420"/>
        <w:rPr>
          <w:rFonts w:ascii="ＭＳ 明朝" w:hAnsi="ＭＳ 明朝" w:cs="MS-Mincho"/>
          <w:kern w:val="0"/>
          <w:szCs w:val="21"/>
        </w:rPr>
      </w:pPr>
      <w:r>
        <w:rPr>
          <w:rFonts w:ascii="ＭＳ 明朝" w:hAnsi="ＭＳ 明朝" w:cs="MS-Mincho" w:hint="eastAsia"/>
          <w:kern w:val="0"/>
          <w:szCs w:val="21"/>
        </w:rPr>
        <w:t>契約締結の日から</w:t>
      </w:r>
      <w:r w:rsidRPr="00245990">
        <w:rPr>
          <w:rFonts w:ascii="ＭＳ 明朝" w:hAnsi="ＭＳ 明朝" w:cs="MS-Mincho" w:hint="eastAsia"/>
          <w:kern w:val="0"/>
          <w:szCs w:val="21"/>
        </w:rPr>
        <w:t>令和</w:t>
      </w:r>
      <w:r>
        <w:rPr>
          <w:rFonts w:ascii="ＭＳ 明朝" w:hAnsi="ＭＳ 明朝" w:cs="MS-Mincho" w:hint="eastAsia"/>
          <w:kern w:val="0"/>
          <w:szCs w:val="21"/>
        </w:rPr>
        <w:t>９</w:t>
      </w:r>
      <w:r w:rsidRPr="00245990">
        <w:rPr>
          <w:rFonts w:ascii="ＭＳ 明朝" w:hAnsi="ＭＳ 明朝" w:cs="MS-Mincho" w:hint="eastAsia"/>
          <w:kern w:val="0"/>
          <w:szCs w:val="21"/>
        </w:rPr>
        <w:t>年３月31日</w:t>
      </w:r>
      <w:r>
        <w:rPr>
          <w:rFonts w:ascii="ＭＳ 明朝" w:hAnsi="ＭＳ 明朝" w:cs="MS-Mincho" w:hint="eastAsia"/>
          <w:kern w:val="0"/>
          <w:szCs w:val="21"/>
        </w:rPr>
        <w:t>まで</w:t>
      </w:r>
    </w:p>
    <w:p w14:paraId="2303C43D" w14:textId="77777777" w:rsidR="00872116" w:rsidRDefault="00872116" w:rsidP="00872116">
      <w:pPr>
        <w:rPr>
          <w:rFonts w:ascii="ＭＳ 明朝" w:hAnsi="ＭＳ 明朝" w:cs="MS-Mincho"/>
          <w:kern w:val="0"/>
          <w:szCs w:val="21"/>
        </w:rPr>
      </w:pPr>
    </w:p>
    <w:p w14:paraId="628C29C1" w14:textId="77777777" w:rsidR="00872116" w:rsidRPr="00245990" w:rsidRDefault="00872116" w:rsidP="00872116">
      <w:pPr>
        <w:autoSpaceDE w:val="0"/>
        <w:autoSpaceDN w:val="0"/>
        <w:ind w:rightChars="20" w:right="42"/>
        <w:rPr>
          <w:rFonts w:ascii="ＭＳ ゴシック" w:eastAsia="ＭＳ ゴシック" w:hAnsi="ＭＳ ゴシック" w:cs="MS-Mincho"/>
          <w:kern w:val="0"/>
          <w:szCs w:val="21"/>
        </w:rPr>
      </w:pPr>
      <w:r w:rsidRPr="00245990">
        <w:rPr>
          <w:rFonts w:ascii="ＭＳ ゴシック" w:eastAsia="ＭＳ ゴシック" w:hAnsi="ＭＳ ゴシック" w:cs="MS-Mincho" w:hint="eastAsia"/>
          <w:kern w:val="0"/>
          <w:szCs w:val="21"/>
        </w:rPr>
        <w:t>４．留意事項</w:t>
      </w:r>
    </w:p>
    <w:p w14:paraId="362AC9E6" w14:textId="77777777" w:rsidR="00872116" w:rsidRPr="00245990" w:rsidRDefault="00872116" w:rsidP="00872116">
      <w:pPr>
        <w:autoSpaceDE w:val="0"/>
        <w:autoSpaceDN w:val="0"/>
        <w:adjustRightInd w:val="0"/>
        <w:ind w:left="630" w:rightChars="20" w:right="42" w:hangingChars="300" w:hanging="630"/>
        <w:rPr>
          <w:rFonts w:ascii="ＭＳ 明朝" w:hAnsi="ＭＳ 明朝"/>
          <w:szCs w:val="21"/>
        </w:rPr>
      </w:pPr>
      <w:r w:rsidRPr="00245990">
        <w:rPr>
          <w:rFonts w:ascii="ＭＳ 明朝" w:hAnsi="ＭＳ 明朝" w:cs="MS-Mincho" w:hint="eastAsia"/>
          <w:kern w:val="0"/>
          <w:szCs w:val="21"/>
        </w:rPr>
        <w:t>（１）受託者は、</w:t>
      </w:r>
      <w:r w:rsidRPr="00245990">
        <w:rPr>
          <w:rFonts w:ascii="ＭＳ 明朝" w:hAnsi="ＭＳ 明朝" w:hint="eastAsia"/>
          <w:szCs w:val="21"/>
        </w:rPr>
        <w:t>事業実施にあたるすべての工程において、委託者と十分な連絡・調整を行い、円滑な実施を図ること。</w:t>
      </w:r>
    </w:p>
    <w:p w14:paraId="22904EE7" w14:textId="77777777" w:rsidR="00872116" w:rsidRPr="00245990" w:rsidRDefault="00872116" w:rsidP="00872116">
      <w:pPr>
        <w:autoSpaceDE w:val="0"/>
        <w:autoSpaceDN w:val="0"/>
        <w:ind w:left="630" w:rightChars="20" w:right="42" w:hangingChars="300" w:hanging="630"/>
        <w:rPr>
          <w:rFonts w:ascii="ＭＳ 明朝" w:hAnsi="ＭＳ 明朝"/>
          <w:szCs w:val="21"/>
        </w:rPr>
      </w:pPr>
      <w:r w:rsidRPr="00245990">
        <w:rPr>
          <w:rFonts w:ascii="ＭＳ 明朝" w:hAnsi="ＭＳ 明朝" w:hint="eastAsia"/>
          <w:szCs w:val="21"/>
        </w:rPr>
        <w:t>（２）受託者は、当該業務の実施に際し、専門的知見に立った積極的な助言を行うこと。</w:t>
      </w:r>
    </w:p>
    <w:p w14:paraId="7A0D4B9A" w14:textId="0E295C41" w:rsidR="00D903AA" w:rsidRPr="00872116" w:rsidRDefault="00872116" w:rsidP="00872116">
      <w:pPr>
        <w:autoSpaceDE w:val="0"/>
        <w:autoSpaceDN w:val="0"/>
        <w:ind w:left="630" w:rightChars="20" w:right="42" w:hangingChars="300" w:hanging="630"/>
        <w:rPr>
          <w:rFonts w:ascii="ＭＳ 明朝" w:hAnsi="ＭＳ 明朝"/>
          <w:szCs w:val="21"/>
        </w:rPr>
      </w:pPr>
      <w:r w:rsidRPr="00245990">
        <w:rPr>
          <w:rFonts w:ascii="ＭＳ 明朝" w:hAnsi="ＭＳ 明朝" w:hint="eastAsia"/>
          <w:szCs w:val="21"/>
        </w:rPr>
        <w:t>（</w:t>
      </w:r>
      <w:r>
        <w:rPr>
          <w:rFonts w:ascii="ＭＳ 明朝" w:hAnsi="ＭＳ 明朝" w:hint="eastAsia"/>
          <w:szCs w:val="21"/>
        </w:rPr>
        <w:t>３</w:t>
      </w:r>
      <w:r w:rsidRPr="00245990">
        <w:rPr>
          <w:rFonts w:ascii="ＭＳ 明朝" w:hAnsi="ＭＳ 明朝" w:hint="eastAsia"/>
          <w:szCs w:val="21"/>
        </w:rPr>
        <w:t>）当該業務の実施に必要となる経費は全て当初の委託料に含めるものとする。</w:t>
      </w:r>
    </w:p>
    <w:sectPr w:rsidR="00D903AA" w:rsidRPr="00872116" w:rsidSect="003F5185">
      <w:headerReference w:type="default" r:id="rId7"/>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87022" w14:textId="77777777" w:rsidR="00F81DF3" w:rsidRDefault="00F81DF3" w:rsidP="007A5D6D">
      <w:r>
        <w:separator/>
      </w:r>
    </w:p>
  </w:endnote>
  <w:endnote w:type="continuationSeparator" w:id="0">
    <w:p w14:paraId="0281A2FA" w14:textId="77777777" w:rsidR="00F81DF3" w:rsidRDefault="00F81DF3" w:rsidP="007A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Arial Unicode MS"/>
    <w:panose1 w:val="020B0604020202020204"/>
    <w:charset w:val="80"/>
    <w:family w:val="auto"/>
    <w:pitch w:val="default"/>
    <w:sig w:usb0="00000001" w:usb1="08070000" w:usb2="00000010" w:usb3="00000000" w:csb0="00020000"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089B9" w14:textId="77777777" w:rsidR="00F81DF3" w:rsidRDefault="00F81DF3" w:rsidP="007A5D6D">
      <w:r>
        <w:separator/>
      </w:r>
    </w:p>
  </w:footnote>
  <w:footnote w:type="continuationSeparator" w:id="0">
    <w:p w14:paraId="3D419703" w14:textId="77777777" w:rsidR="00F81DF3" w:rsidRDefault="00F81DF3" w:rsidP="007A5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12A9" w14:textId="2E19222C" w:rsidR="00872116" w:rsidRDefault="00872116" w:rsidP="00872116">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7EB"/>
    <w:multiLevelType w:val="hybridMultilevel"/>
    <w:tmpl w:val="AE3CE414"/>
    <w:lvl w:ilvl="0" w:tplc="FFFFFFFF">
      <w:start w:val="1"/>
      <w:numFmt w:val="decimalEnclosedCircle"/>
      <w:lvlText w:val="%1"/>
      <w:lvlJc w:val="left"/>
      <w:pPr>
        <w:ind w:left="503" w:hanging="360"/>
      </w:pPr>
      <w:rPr>
        <w:rFonts w:hint="default"/>
      </w:rPr>
    </w:lvl>
    <w:lvl w:ilvl="1" w:tplc="FFFFFFFF" w:tentative="1">
      <w:start w:val="1"/>
      <w:numFmt w:val="aiueoFullWidth"/>
      <w:lvlText w:val="(%2)"/>
      <w:lvlJc w:val="left"/>
      <w:pPr>
        <w:ind w:left="1023" w:hanging="440"/>
      </w:pPr>
    </w:lvl>
    <w:lvl w:ilvl="2" w:tplc="FFFFFFFF" w:tentative="1">
      <w:start w:val="1"/>
      <w:numFmt w:val="decimalEnclosedCircle"/>
      <w:lvlText w:val="%3"/>
      <w:lvlJc w:val="left"/>
      <w:pPr>
        <w:ind w:left="1463" w:hanging="440"/>
      </w:pPr>
    </w:lvl>
    <w:lvl w:ilvl="3" w:tplc="FFFFFFFF" w:tentative="1">
      <w:start w:val="1"/>
      <w:numFmt w:val="decimal"/>
      <w:lvlText w:val="%4."/>
      <w:lvlJc w:val="left"/>
      <w:pPr>
        <w:ind w:left="1903" w:hanging="440"/>
      </w:pPr>
    </w:lvl>
    <w:lvl w:ilvl="4" w:tplc="FFFFFFFF" w:tentative="1">
      <w:start w:val="1"/>
      <w:numFmt w:val="aiueoFullWidth"/>
      <w:lvlText w:val="(%5)"/>
      <w:lvlJc w:val="left"/>
      <w:pPr>
        <w:ind w:left="2343" w:hanging="440"/>
      </w:pPr>
    </w:lvl>
    <w:lvl w:ilvl="5" w:tplc="FFFFFFFF" w:tentative="1">
      <w:start w:val="1"/>
      <w:numFmt w:val="decimalEnclosedCircle"/>
      <w:lvlText w:val="%6"/>
      <w:lvlJc w:val="left"/>
      <w:pPr>
        <w:ind w:left="2783" w:hanging="440"/>
      </w:pPr>
    </w:lvl>
    <w:lvl w:ilvl="6" w:tplc="FFFFFFFF" w:tentative="1">
      <w:start w:val="1"/>
      <w:numFmt w:val="decimal"/>
      <w:lvlText w:val="%7."/>
      <w:lvlJc w:val="left"/>
      <w:pPr>
        <w:ind w:left="3223" w:hanging="440"/>
      </w:pPr>
    </w:lvl>
    <w:lvl w:ilvl="7" w:tplc="FFFFFFFF" w:tentative="1">
      <w:start w:val="1"/>
      <w:numFmt w:val="aiueoFullWidth"/>
      <w:lvlText w:val="(%8)"/>
      <w:lvlJc w:val="left"/>
      <w:pPr>
        <w:ind w:left="3663" w:hanging="440"/>
      </w:pPr>
    </w:lvl>
    <w:lvl w:ilvl="8" w:tplc="FFFFFFFF" w:tentative="1">
      <w:start w:val="1"/>
      <w:numFmt w:val="decimalEnclosedCircle"/>
      <w:lvlText w:val="%9"/>
      <w:lvlJc w:val="left"/>
      <w:pPr>
        <w:ind w:left="4103" w:hanging="440"/>
      </w:pPr>
    </w:lvl>
  </w:abstractNum>
  <w:abstractNum w:abstractNumId="1" w15:restartNumberingAfterBreak="0">
    <w:nsid w:val="209957E8"/>
    <w:multiLevelType w:val="hybridMultilevel"/>
    <w:tmpl w:val="ECA63176"/>
    <w:lvl w:ilvl="0" w:tplc="909EA4E8">
      <w:start w:val="1"/>
      <w:numFmt w:val="aiueoFullWidth"/>
      <w:lvlText w:val="%1）"/>
      <w:lvlJc w:val="left"/>
      <w:pPr>
        <w:ind w:left="981" w:hanging="420"/>
      </w:pPr>
      <w:rPr>
        <w:rFonts w:hint="default"/>
      </w:rPr>
    </w:lvl>
    <w:lvl w:ilvl="1" w:tplc="04090017" w:tentative="1">
      <w:start w:val="1"/>
      <w:numFmt w:val="aiueoFullWidth"/>
      <w:lvlText w:val="(%2)"/>
      <w:lvlJc w:val="left"/>
      <w:pPr>
        <w:ind w:left="1441" w:hanging="440"/>
      </w:pPr>
    </w:lvl>
    <w:lvl w:ilvl="2" w:tplc="04090011" w:tentative="1">
      <w:start w:val="1"/>
      <w:numFmt w:val="decimalEnclosedCircle"/>
      <w:lvlText w:val="%3"/>
      <w:lvlJc w:val="left"/>
      <w:pPr>
        <w:ind w:left="1881" w:hanging="440"/>
      </w:pPr>
    </w:lvl>
    <w:lvl w:ilvl="3" w:tplc="0409000F" w:tentative="1">
      <w:start w:val="1"/>
      <w:numFmt w:val="decimal"/>
      <w:lvlText w:val="%4."/>
      <w:lvlJc w:val="left"/>
      <w:pPr>
        <w:ind w:left="2321" w:hanging="440"/>
      </w:pPr>
    </w:lvl>
    <w:lvl w:ilvl="4" w:tplc="04090017" w:tentative="1">
      <w:start w:val="1"/>
      <w:numFmt w:val="aiueoFullWidth"/>
      <w:lvlText w:val="(%5)"/>
      <w:lvlJc w:val="left"/>
      <w:pPr>
        <w:ind w:left="2761" w:hanging="440"/>
      </w:pPr>
    </w:lvl>
    <w:lvl w:ilvl="5" w:tplc="04090011" w:tentative="1">
      <w:start w:val="1"/>
      <w:numFmt w:val="decimalEnclosedCircle"/>
      <w:lvlText w:val="%6"/>
      <w:lvlJc w:val="left"/>
      <w:pPr>
        <w:ind w:left="3201" w:hanging="440"/>
      </w:pPr>
    </w:lvl>
    <w:lvl w:ilvl="6" w:tplc="0409000F" w:tentative="1">
      <w:start w:val="1"/>
      <w:numFmt w:val="decimal"/>
      <w:lvlText w:val="%7."/>
      <w:lvlJc w:val="left"/>
      <w:pPr>
        <w:ind w:left="3641" w:hanging="440"/>
      </w:pPr>
    </w:lvl>
    <w:lvl w:ilvl="7" w:tplc="04090017" w:tentative="1">
      <w:start w:val="1"/>
      <w:numFmt w:val="aiueoFullWidth"/>
      <w:lvlText w:val="(%8)"/>
      <w:lvlJc w:val="left"/>
      <w:pPr>
        <w:ind w:left="4081" w:hanging="440"/>
      </w:pPr>
    </w:lvl>
    <w:lvl w:ilvl="8" w:tplc="04090011" w:tentative="1">
      <w:start w:val="1"/>
      <w:numFmt w:val="decimalEnclosedCircle"/>
      <w:lvlText w:val="%9"/>
      <w:lvlJc w:val="left"/>
      <w:pPr>
        <w:ind w:left="4521" w:hanging="440"/>
      </w:pPr>
    </w:lvl>
  </w:abstractNum>
  <w:abstractNum w:abstractNumId="2" w15:restartNumberingAfterBreak="0">
    <w:nsid w:val="2173697D"/>
    <w:multiLevelType w:val="hybridMultilevel"/>
    <w:tmpl w:val="AE3CE414"/>
    <w:lvl w:ilvl="0" w:tplc="FFFFFFFF">
      <w:start w:val="1"/>
      <w:numFmt w:val="decimalEnclosedCircle"/>
      <w:lvlText w:val="%1"/>
      <w:lvlJc w:val="left"/>
      <w:pPr>
        <w:ind w:left="503" w:hanging="360"/>
      </w:pPr>
      <w:rPr>
        <w:rFonts w:hint="default"/>
      </w:rPr>
    </w:lvl>
    <w:lvl w:ilvl="1" w:tplc="FFFFFFFF" w:tentative="1">
      <w:start w:val="1"/>
      <w:numFmt w:val="aiueoFullWidth"/>
      <w:lvlText w:val="(%2)"/>
      <w:lvlJc w:val="left"/>
      <w:pPr>
        <w:ind w:left="1023" w:hanging="440"/>
      </w:pPr>
    </w:lvl>
    <w:lvl w:ilvl="2" w:tplc="FFFFFFFF" w:tentative="1">
      <w:start w:val="1"/>
      <w:numFmt w:val="decimalEnclosedCircle"/>
      <w:lvlText w:val="%3"/>
      <w:lvlJc w:val="left"/>
      <w:pPr>
        <w:ind w:left="1463" w:hanging="440"/>
      </w:pPr>
    </w:lvl>
    <w:lvl w:ilvl="3" w:tplc="FFFFFFFF" w:tentative="1">
      <w:start w:val="1"/>
      <w:numFmt w:val="decimal"/>
      <w:lvlText w:val="%4."/>
      <w:lvlJc w:val="left"/>
      <w:pPr>
        <w:ind w:left="1903" w:hanging="440"/>
      </w:pPr>
    </w:lvl>
    <w:lvl w:ilvl="4" w:tplc="FFFFFFFF" w:tentative="1">
      <w:start w:val="1"/>
      <w:numFmt w:val="aiueoFullWidth"/>
      <w:lvlText w:val="(%5)"/>
      <w:lvlJc w:val="left"/>
      <w:pPr>
        <w:ind w:left="2343" w:hanging="440"/>
      </w:pPr>
    </w:lvl>
    <w:lvl w:ilvl="5" w:tplc="FFFFFFFF" w:tentative="1">
      <w:start w:val="1"/>
      <w:numFmt w:val="decimalEnclosedCircle"/>
      <w:lvlText w:val="%6"/>
      <w:lvlJc w:val="left"/>
      <w:pPr>
        <w:ind w:left="2783" w:hanging="440"/>
      </w:pPr>
    </w:lvl>
    <w:lvl w:ilvl="6" w:tplc="FFFFFFFF" w:tentative="1">
      <w:start w:val="1"/>
      <w:numFmt w:val="decimal"/>
      <w:lvlText w:val="%7."/>
      <w:lvlJc w:val="left"/>
      <w:pPr>
        <w:ind w:left="3223" w:hanging="440"/>
      </w:pPr>
    </w:lvl>
    <w:lvl w:ilvl="7" w:tplc="FFFFFFFF" w:tentative="1">
      <w:start w:val="1"/>
      <w:numFmt w:val="aiueoFullWidth"/>
      <w:lvlText w:val="(%8)"/>
      <w:lvlJc w:val="left"/>
      <w:pPr>
        <w:ind w:left="3663" w:hanging="440"/>
      </w:pPr>
    </w:lvl>
    <w:lvl w:ilvl="8" w:tplc="FFFFFFFF" w:tentative="1">
      <w:start w:val="1"/>
      <w:numFmt w:val="decimalEnclosedCircle"/>
      <w:lvlText w:val="%9"/>
      <w:lvlJc w:val="left"/>
      <w:pPr>
        <w:ind w:left="4103" w:hanging="440"/>
      </w:pPr>
    </w:lvl>
  </w:abstractNum>
  <w:abstractNum w:abstractNumId="3" w15:restartNumberingAfterBreak="0">
    <w:nsid w:val="27912EFD"/>
    <w:multiLevelType w:val="hybridMultilevel"/>
    <w:tmpl w:val="AE3CE414"/>
    <w:lvl w:ilvl="0" w:tplc="FFFFFFFF">
      <w:start w:val="1"/>
      <w:numFmt w:val="decimalEnclosedCircle"/>
      <w:lvlText w:val="%1"/>
      <w:lvlJc w:val="left"/>
      <w:pPr>
        <w:ind w:left="503" w:hanging="360"/>
      </w:pPr>
      <w:rPr>
        <w:rFonts w:hint="default"/>
      </w:rPr>
    </w:lvl>
    <w:lvl w:ilvl="1" w:tplc="FFFFFFFF" w:tentative="1">
      <w:start w:val="1"/>
      <w:numFmt w:val="aiueoFullWidth"/>
      <w:lvlText w:val="(%2)"/>
      <w:lvlJc w:val="left"/>
      <w:pPr>
        <w:ind w:left="1023" w:hanging="440"/>
      </w:pPr>
    </w:lvl>
    <w:lvl w:ilvl="2" w:tplc="FFFFFFFF" w:tentative="1">
      <w:start w:val="1"/>
      <w:numFmt w:val="decimalEnclosedCircle"/>
      <w:lvlText w:val="%3"/>
      <w:lvlJc w:val="left"/>
      <w:pPr>
        <w:ind w:left="1463" w:hanging="440"/>
      </w:pPr>
    </w:lvl>
    <w:lvl w:ilvl="3" w:tplc="FFFFFFFF" w:tentative="1">
      <w:start w:val="1"/>
      <w:numFmt w:val="decimal"/>
      <w:lvlText w:val="%4."/>
      <w:lvlJc w:val="left"/>
      <w:pPr>
        <w:ind w:left="1903" w:hanging="440"/>
      </w:pPr>
    </w:lvl>
    <w:lvl w:ilvl="4" w:tplc="FFFFFFFF" w:tentative="1">
      <w:start w:val="1"/>
      <w:numFmt w:val="aiueoFullWidth"/>
      <w:lvlText w:val="(%5)"/>
      <w:lvlJc w:val="left"/>
      <w:pPr>
        <w:ind w:left="2343" w:hanging="440"/>
      </w:pPr>
    </w:lvl>
    <w:lvl w:ilvl="5" w:tplc="FFFFFFFF" w:tentative="1">
      <w:start w:val="1"/>
      <w:numFmt w:val="decimalEnclosedCircle"/>
      <w:lvlText w:val="%6"/>
      <w:lvlJc w:val="left"/>
      <w:pPr>
        <w:ind w:left="2783" w:hanging="440"/>
      </w:pPr>
    </w:lvl>
    <w:lvl w:ilvl="6" w:tplc="FFFFFFFF" w:tentative="1">
      <w:start w:val="1"/>
      <w:numFmt w:val="decimal"/>
      <w:lvlText w:val="%7."/>
      <w:lvlJc w:val="left"/>
      <w:pPr>
        <w:ind w:left="3223" w:hanging="440"/>
      </w:pPr>
    </w:lvl>
    <w:lvl w:ilvl="7" w:tplc="FFFFFFFF" w:tentative="1">
      <w:start w:val="1"/>
      <w:numFmt w:val="aiueoFullWidth"/>
      <w:lvlText w:val="(%8)"/>
      <w:lvlJc w:val="left"/>
      <w:pPr>
        <w:ind w:left="3663" w:hanging="440"/>
      </w:pPr>
    </w:lvl>
    <w:lvl w:ilvl="8" w:tplc="FFFFFFFF" w:tentative="1">
      <w:start w:val="1"/>
      <w:numFmt w:val="decimalEnclosedCircle"/>
      <w:lvlText w:val="%9"/>
      <w:lvlJc w:val="left"/>
      <w:pPr>
        <w:ind w:left="4103" w:hanging="440"/>
      </w:pPr>
    </w:lvl>
  </w:abstractNum>
  <w:abstractNum w:abstractNumId="4" w15:restartNumberingAfterBreak="0">
    <w:nsid w:val="68BB26D8"/>
    <w:multiLevelType w:val="hybridMultilevel"/>
    <w:tmpl w:val="07849232"/>
    <w:lvl w:ilvl="0" w:tplc="257A2F9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72313935">
    <w:abstractNumId w:val="4"/>
  </w:num>
  <w:num w:numId="2" w16cid:durableId="1096635521">
    <w:abstractNumId w:val="0"/>
  </w:num>
  <w:num w:numId="3" w16cid:durableId="749809082">
    <w:abstractNumId w:val="2"/>
  </w:num>
  <w:num w:numId="4" w16cid:durableId="1907497040">
    <w:abstractNumId w:val="3"/>
  </w:num>
  <w:num w:numId="5" w16cid:durableId="2073507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25"/>
    <w:rsid w:val="00003F4B"/>
    <w:rsid w:val="000319F2"/>
    <w:rsid w:val="00044DD5"/>
    <w:rsid w:val="00046BF1"/>
    <w:rsid w:val="00063926"/>
    <w:rsid w:val="00072DAD"/>
    <w:rsid w:val="00077BA6"/>
    <w:rsid w:val="0009066F"/>
    <w:rsid w:val="000C3931"/>
    <w:rsid w:val="000D0128"/>
    <w:rsid w:val="000D3B82"/>
    <w:rsid w:val="000F08C2"/>
    <w:rsid w:val="000F256D"/>
    <w:rsid w:val="000F5EA2"/>
    <w:rsid w:val="00117D84"/>
    <w:rsid w:val="00132CB5"/>
    <w:rsid w:val="00134B53"/>
    <w:rsid w:val="00136AA6"/>
    <w:rsid w:val="0014666B"/>
    <w:rsid w:val="00175BF4"/>
    <w:rsid w:val="0018394D"/>
    <w:rsid w:val="00196359"/>
    <w:rsid w:val="001A7788"/>
    <w:rsid w:val="001B1081"/>
    <w:rsid w:val="001B5391"/>
    <w:rsid w:val="001C70A3"/>
    <w:rsid w:val="001D1B3B"/>
    <w:rsid w:val="001E324E"/>
    <w:rsid w:val="001E704E"/>
    <w:rsid w:val="001F553F"/>
    <w:rsid w:val="001F748D"/>
    <w:rsid w:val="00200255"/>
    <w:rsid w:val="0020069F"/>
    <w:rsid w:val="00212126"/>
    <w:rsid w:val="00216392"/>
    <w:rsid w:val="00221823"/>
    <w:rsid w:val="0022367C"/>
    <w:rsid w:val="002437EA"/>
    <w:rsid w:val="0025100F"/>
    <w:rsid w:val="002632D0"/>
    <w:rsid w:val="00271217"/>
    <w:rsid w:val="002A2E57"/>
    <w:rsid w:val="002B4E86"/>
    <w:rsid w:val="002C4EC3"/>
    <w:rsid w:val="003416CF"/>
    <w:rsid w:val="0037320A"/>
    <w:rsid w:val="003A4D4C"/>
    <w:rsid w:val="003D632C"/>
    <w:rsid w:val="003D7F98"/>
    <w:rsid w:val="003E34D6"/>
    <w:rsid w:val="003E521C"/>
    <w:rsid w:val="003F5185"/>
    <w:rsid w:val="003F795F"/>
    <w:rsid w:val="004020B3"/>
    <w:rsid w:val="00402EFF"/>
    <w:rsid w:val="0041336A"/>
    <w:rsid w:val="0042479D"/>
    <w:rsid w:val="00425EC0"/>
    <w:rsid w:val="0043652F"/>
    <w:rsid w:val="00443D26"/>
    <w:rsid w:val="00451212"/>
    <w:rsid w:val="00456D20"/>
    <w:rsid w:val="00481788"/>
    <w:rsid w:val="004834A3"/>
    <w:rsid w:val="00493197"/>
    <w:rsid w:val="004D5FFF"/>
    <w:rsid w:val="004E7431"/>
    <w:rsid w:val="004E743F"/>
    <w:rsid w:val="0052784C"/>
    <w:rsid w:val="00530B3D"/>
    <w:rsid w:val="00532F00"/>
    <w:rsid w:val="00535875"/>
    <w:rsid w:val="0054204B"/>
    <w:rsid w:val="00543914"/>
    <w:rsid w:val="005769B7"/>
    <w:rsid w:val="00583675"/>
    <w:rsid w:val="005837EC"/>
    <w:rsid w:val="005A0544"/>
    <w:rsid w:val="005A25A3"/>
    <w:rsid w:val="005A7EC9"/>
    <w:rsid w:val="005B5125"/>
    <w:rsid w:val="005C2515"/>
    <w:rsid w:val="005C40C7"/>
    <w:rsid w:val="005F00A6"/>
    <w:rsid w:val="00606BBD"/>
    <w:rsid w:val="0062035C"/>
    <w:rsid w:val="006232FE"/>
    <w:rsid w:val="00627BAF"/>
    <w:rsid w:val="006351A4"/>
    <w:rsid w:val="00650E80"/>
    <w:rsid w:val="00651F8B"/>
    <w:rsid w:val="00653FE5"/>
    <w:rsid w:val="00660D4B"/>
    <w:rsid w:val="00667F31"/>
    <w:rsid w:val="00674A17"/>
    <w:rsid w:val="0068747A"/>
    <w:rsid w:val="006B3366"/>
    <w:rsid w:val="006B67F7"/>
    <w:rsid w:val="006D4D38"/>
    <w:rsid w:val="006F183B"/>
    <w:rsid w:val="006F1C33"/>
    <w:rsid w:val="0073336F"/>
    <w:rsid w:val="0073590B"/>
    <w:rsid w:val="00735CC8"/>
    <w:rsid w:val="00743D7C"/>
    <w:rsid w:val="00750B69"/>
    <w:rsid w:val="0075774E"/>
    <w:rsid w:val="00765A23"/>
    <w:rsid w:val="00770611"/>
    <w:rsid w:val="00776A5D"/>
    <w:rsid w:val="0078258F"/>
    <w:rsid w:val="00796B11"/>
    <w:rsid w:val="007A5D6D"/>
    <w:rsid w:val="007F2F2B"/>
    <w:rsid w:val="007F71AC"/>
    <w:rsid w:val="00832E83"/>
    <w:rsid w:val="00837B08"/>
    <w:rsid w:val="0084419E"/>
    <w:rsid w:val="00846732"/>
    <w:rsid w:val="00853949"/>
    <w:rsid w:val="008604F1"/>
    <w:rsid w:val="008677C5"/>
    <w:rsid w:val="00872116"/>
    <w:rsid w:val="0087270C"/>
    <w:rsid w:val="008A0727"/>
    <w:rsid w:val="008C2D19"/>
    <w:rsid w:val="008E63D6"/>
    <w:rsid w:val="008E7BF4"/>
    <w:rsid w:val="008F1402"/>
    <w:rsid w:val="008F7607"/>
    <w:rsid w:val="00902EA0"/>
    <w:rsid w:val="00910F21"/>
    <w:rsid w:val="009114B7"/>
    <w:rsid w:val="00920532"/>
    <w:rsid w:val="00924B92"/>
    <w:rsid w:val="0093295F"/>
    <w:rsid w:val="009346DB"/>
    <w:rsid w:val="00945313"/>
    <w:rsid w:val="009759C0"/>
    <w:rsid w:val="00994A7A"/>
    <w:rsid w:val="009B4176"/>
    <w:rsid w:val="009B5014"/>
    <w:rsid w:val="009D37CE"/>
    <w:rsid w:val="009D4F87"/>
    <w:rsid w:val="009E2DD6"/>
    <w:rsid w:val="009F5EB2"/>
    <w:rsid w:val="009F7938"/>
    <w:rsid w:val="00A01ACE"/>
    <w:rsid w:val="00A1451C"/>
    <w:rsid w:val="00A20AB1"/>
    <w:rsid w:val="00A316D3"/>
    <w:rsid w:val="00A63B75"/>
    <w:rsid w:val="00A93714"/>
    <w:rsid w:val="00AB1D90"/>
    <w:rsid w:val="00AC380B"/>
    <w:rsid w:val="00AD3142"/>
    <w:rsid w:val="00AF38CF"/>
    <w:rsid w:val="00B002DC"/>
    <w:rsid w:val="00B12A8F"/>
    <w:rsid w:val="00B16158"/>
    <w:rsid w:val="00B16A40"/>
    <w:rsid w:val="00B22B61"/>
    <w:rsid w:val="00B4039A"/>
    <w:rsid w:val="00B4084F"/>
    <w:rsid w:val="00B438F0"/>
    <w:rsid w:val="00BA1B10"/>
    <w:rsid w:val="00BC523D"/>
    <w:rsid w:val="00BC5C32"/>
    <w:rsid w:val="00BF1C35"/>
    <w:rsid w:val="00C13FAB"/>
    <w:rsid w:val="00C47715"/>
    <w:rsid w:val="00C566D9"/>
    <w:rsid w:val="00C6198E"/>
    <w:rsid w:val="00C7721C"/>
    <w:rsid w:val="00C8161F"/>
    <w:rsid w:val="00C9455A"/>
    <w:rsid w:val="00CA4265"/>
    <w:rsid w:val="00CB13CC"/>
    <w:rsid w:val="00CC6E25"/>
    <w:rsid w:val="00CE5A32"/>
    <w:rsid w:val="00D41F92"/>
    <w:rsid w:val="00D42BD5"/>
    <w:rsid w:val="00D46E1A"/>
    <w:rsid w:val="00D852DC"/>
    <w:rsid w:val="00D903AA"/>
    <w:rsid w:val="00DA1CDC"/>
    <w:rsid w:val="00DB59C5"/>
    <w:rsid w:val="00DD0A61"/>
    <w:rsid w:val="00DD1ECF"/>
    <w:rsid w:val="00E20546"/>
    <w:rsid w:val="00E2397F"/>
    <w:rsid w:val="00E24C4F"/>
    <w:rsid w:val="00E26057"/>
    <w:rsid w:val="00E332CE"/>
    <w:rsid w:val="00E41245"/>
    <w:rsid w:val="00E47E04"/>
    <w:rsid w:val="00E558B6"/>
    <w:rsid w:val="00E76072"/>
    <w:rsid w:val="00E911B9"/>
    <w:rsid w:val="00EA626B"/>
    <w:rsid w:val="00EB1A7B"/>
    <w:rsid w:val="00EB2415"/>
    <w:rsid w:val="00EB737C"/>
    <w:rsid w:val="00EF1E44"/>
    <w:rsid w:val="00F210A5"/>
    <w:rsid w:val="00F2664C"/>
    <w:rsid w:val="00F360CC"/>
    <w:rsid w:val="00F50F8E"/>
    <w:rsid w:val="00F60CFE"/>
    <w:rsid w:val="00F61661"/>
    <w:rsid w:val="00F63B7E"/>
    <w:rsid w:val="00F81DF3"/>
    <w:rsid w:val="00F826CB"/>
    <w:rsid w:val="00FB54FF"/>
    <w:rsid w:val="00FC0364"/>
    <w:rsid w:val="00FC0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940429"/>
  <w15:chartTrackingRefBased/>
  <w15:docId w15:val="{08EC44DB-DDE4-4727-BCC8-4DE691383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4666B"/>
  </w:style>
  <w:style w:type="paragraph" w:styleId="a4">
    <w:name w:val="Balloon Text"/>
    <w:basedOn w:val="a"/>
    <w:semiHidden/>
    <w:rsid w:val="00770611"/>
    <w:rPr>
      <w:rFonts w:ascii="Arial" w:eastAsia="ＭＳ ゴシック" w:hAnsi="Arial"/>
      <w:sz w:val="18"/>
      <w:szCs w:val="18"/>
    </w:rPr>
  </w:style>
  <w:style w:type="paragraph" w:styleId="a5">
    <w:name w:val="header"/>
    <w:basedOn w:val="a"/>
    <w:link w:val="a6"/>
    <w:uiPriority w:val="99"/>
    <w:unhideWhenUsed/>
    <w:rsid w:val="007A5D6D"/>
    <w:pPr>
      <w:tabs>
        <w:tab w:val="center" w:pos="4252"/>
        <w:tab w:val="right" w:pos="8504"/>
      </w:tabs>
      <w:snapToGrid w:val="0"/>
    </w:pPr>
  </w:style>
  <w:style w:type="character" w:customStyle="1" w:styleId="a6">
    <w:name w:val="ヘッダー (文字)"/>
    <w:link w:val="a5"/>
    <w:uiPriority w:val="99"/>
    <w:rsid w:val="007A5D6D"/>
    <w:rPr>
      <w:kern w:val="2"/>
      <w:sz w:val="21"/>
      <w:szCs w:val="24"/>
    </w:rPr>
  </w:style>
  <w:style w:type="paragraph" w:styleId="a7">
    <w:name w:val="footer"/>
    <w:basedOn w:val="a"/>
    <w:link w:val="a8"/>
    <w:uiPriority w:val="99"/>
    <w:unhideWhenUsed/>
    <w:rsid w:val="007A5D6D"/>
    <w:pPr>
      <w:tabs>
        <w:tab w:val="center" w:pos="4252"/>
        <w:tab w:val="right" w:pos="8504"/>
      </w:tabs>
      <w:snapToGrid w:val="0"/>
    </w:pPr>
  </w:style>
  <w:style w:type="character" w:customStyle="1" w:styleId="a8">
    <w:name w:val="フッター (文字)"/>
    <w:link w:val="a7"/>
    <w:uiPriority w:val="99"/>
    <w:rsid w:val="007A5D6D"/>
    <w:rPr>
      <w:kern w:val="2"/>
      <w:sz w:val="21"/>
      <w:szCs w:val="24"/>
    </w:rPr>
  </w:style>
  <w:style w:type="paragraph" w:styleId="a9">
    <w:name w:val="Revision"/>
    <w:hidden/>
    <w:uiPriority w:val="99"/>
    <w:semiHidden/>
    <w:rsid w:val="005A0544"/>
    <w:rPr>
      <w:kern w:val="2"/>
      <w:sz w:val="21"/>
      <w:szCs w:val="24"/>
    </w:rPr>
  </w:style>
  <w:style w:type="character" w:styleId="aa">
    <w:name w:val="annotation reference"/>
    <w:basedOn w:val="a0"/>
    <w:uiPriority w:val="99"/>
    <w:semiHidden/>
    <w:unhideWhenUsed/>
    <w:rsid w:val="000F08C2"/>
    <w:rPr>
      <w:sz w:val="18"/>
      <w:szCs w:val="18"/>
    </w:rPr>
  </w:style>
  <w:style w:type="paragraph" w:styleId="ab">
    <w:name w:val="annotation text"/>
    <w:basedOn w:val="a"/>
    <w:link w:val="ac"/>
    <w:uiPriority w:val="99"/>
    <w:semiHidden/>
    <w:unhideWhenUsed/>
    <w:rsid w:val="000F08C2"/>
    <w:pPr>
      <w:jc w:val="left"/>
    </w:pPr>
  </w:style>
  <w:style w:type="character" w:customStyle="1" w:styleId="ac">
    <w:name w:val="コメント文字列 (文字)"/>
    <w:basedOn w:val="a0"/>
    <w:link w:val="ab"/>
    <w:uiPriority w:val="99"/>
    <w:semiHidden/>
    <w:rsid w:val="000F08C2"/>
    <w:rPr>
      <w:kern w:val="2"/>
      <w:sz w:val="21"/>
      <w:szCs w:val="24"/>
    </w:rPr>
  </w:style>
  <w:style w:type="paragraph" w:styleId="ad">
    <w:name w:val="annotation subject"/>
    <w:basedOn w:val="ab"/>
    <w:next w:val="ab"/>
    <w:link w:val="ae"/>
    <w:uiPriority w:val="99"/>
    <w:semiHidden/>
    <w:unhideWhenUsed/>
    <w:rsid w:val="000F08C2"/>
    <w:rPr>
      <w:b/>
      <w:bCs/>
    </w:rPr>
  </w:style>
  <w:style w:type="character" w:customStyle="1" w:styleId="ae">
    <w:name w:val="コメント内容 (文字)"/>
    <w:basedOn w:val="ac"/>
    <w:link w:val="ad"/>
    <w:uiPriority w:val="99"/>
    <w:semiHidden/>
    <w:rsid w:val="000F08C2"/>
    <w:rPr>
      <w:b/>
      <w:bCs/>
      <w:kern w:val="2"/>
      <w:sz w:val="21"/>
      <w:szCs w:val="24"/>
    </w:rPr>
  </w:style>
  <w:style w:type="paragraph" w:styleId="af">
    <w:name w:val="List Paragraph"/>
    <w:basedOn w:val="a"/>
    <w:uiPriority w:val="34"/>
    <w:qFormat/>
    <w:rsid w:val="00872116"/>
    <w:pPr>
      <w:widowControl/>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574594">
      <w:bodyDiv w:val="1"/>
      <w:marLeft w:val="0"/>
      <w:marRight w:val="0"/>
      <w:marTop w:val="0"/>
      <w:marBottom w:val="0"/>
      <w:divBdr>
        <w:top w:val="none" w:sz="0" w:space="0" w:color="auto"/>
        <w:left w:val="none" w:sz="0" w:space="0" w:color="auto"/>
        <w:bottom w:val="none" w:sz="0" w:space="0" w:color="auto"/>
        <w:right w:val="none" w:sz="0" w:space="0" w:color="auto"/>
      </w:divBdr>
    </w:div>
    <w:div w:id="871302124">
      <w:bodyDiv w:val="1"/>
      <w:marLeft w:val="0"/>
      <w:marRight w:val="0"/>
      <w:marTop w:val="0"/>
      <w:marBottom w:val="0"/>
      <w:divBdr>
        <w:top w:val="none" w:sz="0" w:space="0" w:color="auto"/>
        <w:left w:val="none" w:sz="0" w:space="0" w:color="auto"/>
        <w:bottom w:val="none" w:sz="0" w:space="0" w:color="auto"/>
        <w:right w:val="none" w:sz="0" w:space="0" w:color="auto"/>
      </w:divBdr>
    </w:div>
    <w:div w:id="197240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385</Words>
  <Characters>2195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　守　管　理　委　託　契　約　書</vt:lpstr>
      <vt:lpstr>保　守　管　理　委　託　契　約　書</vt:lpstr>
    </vt:vector>
  </TitlesOfParts>
  <Company>静岡市役所</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　守　管　理　委　託　契　約　書</dc:title>
  <dc:subject/>
  <dc:creator>岩崎昌登</dc:creator>
  <cp:keywords/>
  <dc:description/>
  <cp:lastModifiedBy>（公財） するが企画観光局</cp:lastModifiedBy>
  <cp:revision>2</cp:revision>
  <cp:lastPrinted>2024-03-19T02:56:00Z</cp:lastPrinted>
  <dcterms:created xsi:type="dcterms:W3CDTF">2026-02-19T01:53:00Z</dcterms:created>
  <dcterms:modified xsi:type="dcterms:W3CDTF">2026-02-19T01:53:00Z</dcterms:modified>
</cp:coreProperties>
</file>